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D7EAA1" w14:textId="72ACDEF4" w:rsidR="00607916" w:rsidRPr="003513BB" w:rsidRDefault="00E7176C" w:rsidP="00E7176C">
      <w:pPr>
        <w:widowControl w:val="0"/>
        <w:pBdr>
          <w:top w:val="nil"/>
          <w:left w:val="nil"/>
          <w:bottom w:val="nil"/>
          <w:right w:val="nil"/>
          <w:between w:val="nil"/>
        </w:pBdr>
        <w:spacing w:before="100" w:after="100"/>
        <w:ind w:left="141" w:right="141"/>
        <w:jc w:val="center"/>
        <w:rPr>
          <w:rFonts w:ascii="Helvetica" w:eastAsia="Helvetica Neue" w:hAnsi="Helvetica" w:cs="Helvetica Neue"/>
          <w:b/>
          <w:color w:val="000000"/>
          <w:sz w:val="18"/>
          <w:szCs w:val="18"/>
        </w:rPr>
      </w:pPr>
      <w:r w:rsidRPr="003513BB">
        <w:rPr>
          <w:rFonts w:ascii="Helvetica" w:eastAsia="Helvetica Neue" w:hAnsi="Helvetica" w:cs="Helvetica Neue"/>
          <w:b/>
          <w:color w:val="000000"/>
          <w:sz w:val="18"/>
          <w:szCs w:val="18"/>
        </w:rPr>
        <w:t>Cresci</w:t>
      </w:r>
      <w:r w:rsidR="00CA3597">
        <w:rPr>
          <w:rFonts w:ascii="Helvetica" w:eastAsia="Helvetica Neue" w:hAnsi="Helvetica" w:cs="Helvetica Neue"/>
          <w:b/>
          <w:color w:val="000000"/>
          <w:sz w:val="18"/>
          <w:szCs w:val="18"/>
        </w:rPr>
        <w:t>mento de mudas de maracujazeiro-</w:t>
      </w:r>
      <w:r w:rsidRPr="003513BB">
        <w:rPr>
          <w:rFonts w:ascii="Helvetica" w:eastAsia="Helvetica Neue" w:hAnsi="Helvetica" w:cs="Helvetica Neue"/>
          <w:b/>
          <w:color w:val="000000"/>
          <w:sz w:val="18"/>
          <w:szCs w:val="18"/>
        </w:rPr>
        <w:t>amarelo produzidas em substratos à base de biocarvão</w:t>
      </w:r>
    </w:p>
    <w:p w14:paraId="18B2A774" w14:textId="77777777" w:rsidR="00657376" w:rsidRPr="005C4591" w:rsidRDefault="00657376" w:rsidP="00E7176C">
      <w:pPr>
        <w:widowControl w:val="0"/>
        <w:pBdr>
          <w:top w:val="nil"/>
          <w:left w:val="nil"/>
          <w:bottom w:val="nil"/>
          <w:right w:val="nil"/>
          <w:between w:val="nil"/>
        </w:pBdr>
        <w:spacing w:before="100" w:after="100"/>
        <w:ind w:left="141" w:right="141"/>
        <w:jc w:val="center"/>
        <w:rPr>
          <w:rFonts w:ascii="Helvetica" w:eastAsia="Helvetica Neue" w:hAnsi="Helvetica" w:cs="Helvetica Neue"/>
          <w:b/>
          <w:color w:val="000000"/>
          <w:sz w:val="18"/>
          <w:szCs w:val="18"/>
        </w:rPr>
      </w:pPr>
    </w:p>
    <w:p w14:paraId="0150E21B" w14:textId="7612EA95" w:rsidR="00054E2A" w:rsidRPr="005C4591" w:rsidRDefault="00657376" w:rsidP="00657376">
      <w:pPr>
        <w:widowControl w:val="0"/>
        <w:pBdr>
          <w:top w:val="nil"/>
          <w:left w:val="nil"/>
          <w:bottom w:val="nil"/>
          <w:right w:val="nil"/>
          <w:between w:val="nil"/>
        </w:pBdr>
        <w:spacing w:before="100" w:after="100"/>
        <w:ind w:right="141"/>
        <w:jc w:val="center"/>
        <w:rPr>
          <w:rFonts w:ascii="Helvetica" w:eastAsia="Helvetica Neue" w:hAnsi="Helvetica" w:cs="Helvetica Neue"/>
          <w:color w:val="000000"/>
          <w:sz w:val="18"/>
          <w:szCs w:val="18"/>
        </w:rPr>
      </w:pPr>
      <w:r w:rsidRPr="005C4591">
        <w:rPr>
          <w:rFonts w:ascii="Helvetica" w:eastAsia="Helvetica Neue" w:hAnsi="Helvetica" w:cs="Helvetica Neue"/>
          <w:color w:val="000000"/>
          <w:sz w:val="18"/>
          <w:szCs w:val="18"/>
        </w:rPr>
        <w:t xml:space="preserve">GISLAINE DOS S. NASCIMENTO, GLÊYSLA HÉVILLA D. </w:t>
      </w:r>
      <w:r w:rsidR="005C4591">
        <w:rPr>
          <w:rFonts w:ascii="Helvetica" w:eastAsia="Helvetica Neue" w:hAnsi="Helvetica" w:cs="Helvetica Neue"/>
          <w:color w:val="000000"/>
          <w:sz w:val="18"/>
          <w:szCs w:val="18"/>
        </w:rPr>
        <w:t>MOREIRA, NOATAN DOS S. AZEVEDO</w:t>
      </w:r>
      <w:r w:rsidRPr="005C4591">
        <w:rPr>
          <w:rFonts w:ascii="Helvetica" w:eastAsia="Helvetica Neue" w:hAnsi="Helvetica" w:cs="Helvetica Neue"/>
          <w:color w:val="000000"/>
          <w:sz w:val="18"/>
          <w:szCs w:val="18"/>
        </w:rPr>
        <w:t>, JOSÉ LUCÍNIO DE O. F</w:t>
      </w:r>
      <w:bookmarkStart w:id="0" w:name="_GoBack"/>
      <w:bookmarkEnd w:id="0"/>
      <w:r w:rsidRPr="005C4591">
        <w:rPr>
          <w:rFonts w:ascii="Helvetica" w:eastAsia="Helvetica Neue" w:hAnsi="Helvetica" w:cs="Helvetica Neue"/>
          <w:color w:val="000000"/>
          <w:sz w:val="18"/>
          <w:szCs w:val="18"/>
        </w:rPr>
        <w:t>REIRE</w:t>
      </w:r>
    </w:p>
    <w:p w14:paraId="50A60937" w14:textId="77777777" w:rsidR="00657376" w:rsidRPr="005C4591" w:rsidRDefault="00657376" w:rsidP="00657376">
      <w:pPr>
        <w:widowControl w:val="0"/>
        <w:pBdr>
          <w:top w:val="nil"/>
          <w:left w:val="nil"/>
          <w:bottom w:val="nil"/>
          <w:right w:val="nil"/>
          <w:between w:val="nil"/>
        </w:pBdr>
        <w:spacing w:before="100" w:after="100"/>
        <w:ind w:right="141"/>
        <w:jc w:val="center"/>
        <w:rPr>
          <w:rFonts w:ascii="Helvetica" w:eastAsia="Helvetica Neue" w:hAnsi="Helvetica" w:cs="Helvetica Neue"/>
          <w:color w:val="000000"/>
          <w:sz w:val="18"/>
          <w:szCs w:val="18"/>
        </w:rPr>
      </w:pPr>
    </w:p>
    <w:p w14:paraId="16FEE174" w14:textId="688DE032" w:rsidR="00607916" w:rsidRPr="005C4591" w:rsidRDefault="00726ADD" w:rsidP="000D111F">
      <w:pPr>
        <w:widowControl w:val="0"/>
        <w:pBdr>
          <w:top w:val="nil"/>
          <w:left w:val="nil"/>
          <w:bottom w:val="nil"/>
          <w:right w:val="nil"/>
          <w:between w:val="nil"/>
        </w:pBdr>
        <w:spacing w:before="100" w:after="100"/>
        <w:ind w:left="141" w:right="141"/>
        <w:rPr>
          <w:rFonts w:ascii="Helvetica" w:eastAsia="Helvetica Neue" w:hAnsi="Helvetica" w:cs="Helvetica Neue"/>
          <w:color w:val="000000"/>
          <w:sz w:val="16"/>
          <w:szCs w:val="16"/>
          <w:lang w:val="pt-BR"/>
        </w:rPr>
      </w:pPr>
      <w:r w:rsidRPr="005C4591">
        <w:rPr>
          <w:rFonts w:ascii="Helvetica" w:eastAsia="Helvetica Neue" w:hAnsi="Helvetica" w:cs="Helvetica Neue"/>
          <w:b/>
          <w:color w:val="000000"/>
          <w:sz w:val="16"/>
          <w:szCs w:val="16"/>
          <w:lang w:val="pt-BR"/>
        </w:rPr>
        <w:t xml:space="preserve">E-mails: </w:t>
      </w:r>
      <w:r w:rsidR="005C4591" w:rsidRPr="005C4591">
        <w:rPr>
          <w:rFonts w:ascii="Helvetica" w:eastAsia="Helvetica Neue" w:hAnsi="Helvetica" w:cs="Helvetica Neue"/>
          <w:color w:val="000000"/>
          <w:sz w:val="16"/>
          <w:szCs w:val="16"/>
          <w:lang w:val="pt-BR"/>
        </w:rPr>
        <w:t>gislaynesantos30@gmail.com</w:t>
      </w:r>
      <w:r w:rsidR="005C4591">
        <w:rPr>
          <w:rFonts w:ascii="Helvetica" w:eastAsia="Helvetica Neue" w:hAnsi="Helvetica" w:cs="Helvetica Neue"/>
          <w:color w:val="000000"/>
          <w:sz w:val="16"/>
          <w:szCs w:val="16"/>
          <w:lang w:val="pt-BR"/>
        </w:rPr>
        <w:t xml:space="preserve">, </w:t>
      </w:r>
      <w:r w:rsidR="00657376" w:rsidRPr="005C4591">
        <w:rPr>
          <w:rFonts w:ascii="Helvetica" w:eastAsia="Helvetica Neue" w:hAnsi="Helvetica" w:cs="Helvetica Neue"/>
          <w:color w:val="000000"/>
          <w:sz w:val="16"/>
          <w:szCs w:val="16"/>
          <w:lang w:val="pt-BR"/>
        </w:rPr>
        <w:t xml:space="preserve">gleyslahevilla@gmail.com, </w:t>
      </w:r>
      <w:r w:rsidR="005C4591" w:rsidRPr="005C4591">
        <w:rPr>
          <w:rFonts w:ascii="Helvetica" w:eastAsia="Helvetica Neue" w:hAnsi="Helvetica" w:cs="Helvetica Neue"/>
          <w:color w:val="000000"/>
          <w:sz w:val="16"/>
          <w:szCs w:val="16"/>
        </w:rPr>
        <w:t>noatan.santos@academico.ifpb.edu.br</w:t>
      </w:r>
      <w:r w:rsidR="005C4591">
        <w:rPr>
          <w:rFonts w:ascii="Helvetica" w:eastAsia="Helvetica Neue" w:hAnsi="Helvetica" w:cs="Helvetica Neue"/>
          <w:color w:val="000000"/>
          <w:sz w:val="16"/>
          <w:szCs w:val="16"/>
        </w:rPr>
        <w:t>,</w:t>
      </w:r>
      <w:r w:rsidR="005C4591" w:rsidRPr="005C4591">
        <w:rPr>
          <w:rFonts w:ascii="Helvetica" w:eastAsia="Helvetica Neue" w:hAnsi="Helvetica" w:cs="Helvetica Neue"/>
          <w:color w:val="000000"/>
          <w:sz w:val="16"/>
          <w:szCs w:val="16"/>
          <w:lang w:val="pt-BR"/>
        </w:rPr>
        <w:t xml:space="preserve"> </w:t>
      </w:r>
      <w:r w:rsidR="00657376" w:rsidRPr="005C4591">
        <w:rPr>
          <w:rFonts w:ascii="Helvetica" w:eastAsia="Helvetica Neue" w:hAnsi="Helvetica" w:cs="Helvetica Neue"/>
          <w:color w:val="000000"/>
          <w:sz w:val="16"/>
          <w:szCs w:val="16"/>
          <w:lang w:val="pt-BR"/>
        </w:rPr>
        <w:t>prof.lucinio@gmail.com</w:t>
      </w:r>
    </w:p>
    <w:p w14:paraId="4B1BE918" w14:textId="493EC051" w:rsidR="00D26AF3" w:rsidRPr="005C4591" w:rsidRDefault="005C4591" w:rsidP="000D111F">
      <w:pPr>
        <w:widowControl w:val="0"/>
        <w:pBdr>
          <w:top w:val="nil"/>
          <w:left w:val="nil"/>
          <w:bottom w:val="nil"/>
          <w:right w:val="nil"/>
          <w:between w:val="nil"/>
        </w:pBdr>
        <w:spacing w:before="100" w:after="100"/>
        <w:ind w:left="141" w:right="141"/>
        <w:rPr>
          <w:rFonts w:ascii="Helvetica" w:eastAsia="Helvetica Neue" w:hAnsi="Helvetica" w:cs="Helvetica Neue"/>
          <w:color w:val="000000"/>
          <w:sz w:val="16"/>
          <w:szCs w:val="16"/>
        </w:rPr>
      </w:pPr>
      <w:r>
        <w:rPr>
          <w:rFonts w:ascii="Helvetica" w:eastAsia="Helvetica Neue" w:hAnsi="Helvetica" w:cs="Helvetica Neue"/>
          <w:b/>
          <w:color w:val="000000"/>
          <w:sz w:val="16"/>
          <w:szCs w:val="16"/>
        </w:rPr>
        <w:t xml:space="preserve">Área de conhecimento </w:t>
      </w:r>
      <w:r w:rsidR="00726ADD" w:rsidRPr="005C4591">
        <w:rPr>
          <w:rFonts w:ascii="Helvetica" w:eastAsia="Helvetica Neue" w:hAnsi="Helvetica" w:cs="Helvetica Neue"/>
          <w:b/>
          <w:color w:val="000000"/>
          <w:sz w:val="16"/>
          <w:szCs w:val="16"/>
        </w:rPr>
        <w:t>(Tabela CNPq)</w:t>
      </w:r>
      <w:r w:rsidR="00726ADD" w:rsidRPr="005C4591">
        <w:rPr>
          <w:rFonts w:ascii="Helvetica" w:eastAsia="Helvetica Neue" w:hAnsi="Helvetica" w:cs="Helvetica Neue"/>
          <w:color w:val="000000"/>
          <w:sz w:val="16"/>
          <w:szCs w:val="16"/>
        </w:rPr>
        <w:t xml:space="preserve">: </w:t>
      </w:r>
      <w:r w:rsidR="00D26AF3" w:rsidRPr="005C4591">
        <w:rPr>
          <w:rFonts w:ascii="Helvetica" w:eastAsia="Helvetica Neue" w:hAnsi="Helvetica" w:cs="Helvetica Neue"/>
          <w:color w:val="000000"/>
          <w:sz w:val="16"/>
          <w:szCs w:val="16"/>
        </w:rPr>
        <w:t>5.01.0</w:t>
      </w:r>
      <w:r w:rsidR="00A0508F" w:rsidRPr="005C4591">
        <w:rPr>
          <w:rFonts w:ascii="Helvetica" w:eastAsia="Helvetica Neue" w:hAnsi="Helvetica" w:cs="Helvetica Neue"/>
          <w:color w:val="000000"/>
          <w:sz w:val="16"/>
          <w:szCs w:val="16"/>
        </w:rPr>
        <w:t>3</w:t>
      </w:r>
      <w:r w:rsidR="00D26AF3" w:rsidRPr="005C4591">
        <w:rPr>
          <w:rFonts w:ascii="Helvetica" w:eastAsia="Helvetica Neue" w:hAnsi="Helvetica" w:cs="Helvetica Neue"/>
          <w:color w:val="000000"/>
          <w:sz w:val="16"/>
          <w:szCs w:val="16"/>
        </w:rPr>
        <w:t>.0</w:t>
      </w:r>
      <w:r w:rsidR="00A0508F" w:rsidRPr="005C4591">
        <w:rPr>
          <w:rFonts w:ascii="Helvetica" w:eastAsia="Helvetica Neue" w:hAnsi="Helvetica" w:cs="Helvetica Neue"/>
          <w:color w:val="000000"/>
          <w:sz w:val="16"/>
          <w:szCs w:val="16"/>
        </w:rPr>
        <w:t>4</w:t>
      </w:r>
      <w:r w:rsidR="00D26AF3" w:rsidRPr="005C4591">
        <w:rPr>
          <w:rFonts w:ascii="Helvetica" w:eastAsia="Helvetica Neue" w:hAnsi="Helvetica" w:cs="Helvetica Neue"/>
          <w:color w:val="000000"/>
          <w:sz w:val="16"/>
          <w:szCs w:val="16"/>
        </w:rPr>
        <w:t>-</w:t>
      </w:r>
      <w:r w:rsidR="00A0508F" w:rsidRPr="005C4591">
        <w:rPr>
          <w:rFonts w:ascii="Helvetica" w:eastAsia="Helvetica Neue" w:hAnsi="Helvetica" w:cs="Helvetica Neue"/>
          <w:color w:val="000000"/>
          <w:sz w:val="16"/>
          <w:szCs w:val="16"/>
        </w:rPr>
        <w:t>0</w:t>
      </w:r>
      <w:r w:rsidR="00D26AF3" w:rsidRPr="005C4591">
        <w:rPr>
          <w:rFonts w:ascii="Helvetica" w:eastAsia="Helvetica Neue" w:hAnsi="Helvetica" w:cs="Helvetica Neue"/>
          <w:color w:val="000000"/>
          <w:sz w:val="16"/>
          <w:szCs w:val="16"/>
        </w:rPr>
        <w:t xml:space="preserve"> Ciências Agrárias.</w:t>
      </w:r>
    </w:p>
    <w:p w14:paraId="08CA2DC7" w14:textId="304D60F4" w:rsidR="00607916" w:rsidRPr="005C4591" w:rsidRDefault="00726ADD" w:rsidP="000D111F">
      <w:pPr>
        <w:widowControl w:val="0"/>
        <w:pBdr>
          <w:top w:val="nil"/>
          <w:left w:val="nil"/>
          <w:bottom w:val="nil"/>
          <w:right w:val="nil"/>
          <w:between w:val="nil"/>
        </w:pBdr>
        <w:spacing w:before="100" w:after="100"/>
        <w:ind w:left="141" w:right="141"/>
        <w:rPr>
          <w:rFonts w:ascii="Helvetica" w:eastAsia="Helvetica Neue" w:hAnsi="Helvetica" w:cs="Helvetica Neue"/>
          <w:color w:val="000000"/>
          <w:sz w:val="16"/>
          <w:szCs w:val="16"/>
        </w:rPr>
      </w:pPr>
      <w:r w:rsidRPr="005C4591">
        <w:rPr>
          <w:rFonts w:ascii="Helvetica" w:eastAsia="Helvetica Neue" w:hAnsi="Helvetica" w:cs="Helvetica Neue"/>
          <w:b/>
          <w:color w:val="000000"/>
          <w:sz w:val="16"/>
          <w:szCs w:val="16"/>
        </w:rPr>
        <w:t>Palavras-Chave</w:t>
      </w:r>
      <w:r w:rsidRPr="005C4591">
        <w:rPr>
          <w:rFonts w:ascii="Helvetica" w:eastAsia="Helvetica Neue" w:hAnsi="Helvetica" w:cs="Helvetica Neue"/>
          <w:color w:val="000000"/>
          <w:sz w:val="16"/>
          <w:szCs w:val="16"/>
        </w:rPr>
        <w:t xml:space="preserve">: </w:t>
      </w:r>
      <w:r w:rsidR="00DB627D" w:rsidRPr="005C4591">
        <w:rPr>
          <w:rFonts w:ascii="Helvetica" w:eastAsia="Helvetica Neue" w:hAnsi="Helvetica" w:cs="Helvetica Neue"/>
          <w:i/>
          <w:color w:val="000000"/>
          <w:sz w:val="16"/>
          <w:szCs w:val="16"/>
        </w:rPr>
        <w:t xml:space="preserve">Passiflora </w:t>
      </w:r>
      <w:r w:rsidR="00E7176C" w:rsidRPr="005C4591">
        <w:rPr>
          <w:rFonts w:ascii="Helvetica" w:eastAsia="Helvetica Neue" w:hAnsi="Helvetica" w:cs="Helvetica Neue"/>
          <w:color w:val="000000"/>
          <w:sz w:val="16"/>
          <w:szCs w:val="16"/>
        </w:rPr>
        <w:t>spp</w:t>
      </w:r>
      <w:r w:rsidR="00D26AF3" w:rsidRPr="005C4591">
        <w:rPr>
          <w:rFonts w:ascii="Helvetica" w:eastAsia="Helvetica Neue" w:hAnsi="Helvetica" w:cs="Helvetica Neue"/>
          <w:color w:val="000000"/>
          <w:sz w:val="16"/>
          <w:szCs w:val="16"/>
        </w:rPr>
        <w:t>;</w:t>
      </w:r>
      <w:r w:rsidR="00E7176C" w:rsidRPr="005C4591">
        <w:rPr>
          <w:rFonts w:ascii="Helvetica" w:eastAsia="Helvetica Neue" w:hAnsi="Helvetica" w:cs="Helvetica Neue"/>
          <w:color w:val="000000"/>
          <w:sz w:val="16"/>
          <w:szCs w:val="16"/>
        </w:rPr>
        <w:t xml:space="preserve"> Agroecologia</w:t>
      </w:r>
      <w:r w:rsidR="00A0508F" w:rsidRPr="005C4591">
        <w:rPr>
          <w:rFonts w:ascii="Helvetica" w:eastAsia="Helvetica Neue" w:hAnsi="Helvetica" w:cs="Helvetica Neue"/>
          <w:color w:val="000000"/>
          <w:sz w:val="16"/>
          <w:szCs w:val="16"/>
        </w:rPr>
        <w:t>; Pro</w:t>
      </w:r>
      <w:r w:rsidR="00657376" w:rsidRPr="005C4591">
        <w:rPr>
          <w:rFonts w:ascii="Helvetica" w:eastAsia="Helvetica Neue" w:hAnsi="Helvetica" w:cs="Helvetica Neue"/>
          <w:color w:val="000000"/>
          <w:sz w:val="16"/>
          <w:szCs w:val="16"/>
        </w:rPr>
        <w:t>dução de mudas; Viveiricultura.</w:t>
      </w:r>
    </w:p>
    <w:p w14:paraId="4F4AE43D" w14:textId="77777777" w:rsidR="00607916" w:rsidRPr="005C4591" w:rsidRDefault="00607916">
      <w:pPr>
        <w:widowControl w:val="0"/>
        <w:pBdr>
          <w:top w:val="nil"/>
          <w:left w:val="nil"/>
          <w:bottom w:val="nil"/>
          <w:right w:val="nil"/>
          <w:between w:val="nil"/>
        </w:pBdr>
        <w:spacing w:before="100" w:after="100"/>
        <w:rPr>
          <w:rFonts w:ascii="Helvetica" w:eastAsia="Helvetica Neue" w:hAnsi="Helvetica" w:cs="Helvetica Neue"/>
          <w:color w:val="000000"/>
          <w:sz w:val="18"/>
          <w:szCs w:val="18"/>
        </w:rPr>
      </w:pPr>
    </w:p>
    <w:p w14:paraId="0722D3CD" w14:textId="77777777" w:rsidR="00607916" w:rsidRPr="005C4591" w:rsidRDefault="00726ADD">
      <w:pPr>
        <w:widowControl w:val="0"/>
        <w:numPr>
          <w:ilvl w:val="0"/>
          <w:numId w:val="2"/>
        </w:numPr>
        <w:pBdr>
          <w:top w:val="nil"/>
          <w:left w:val="nil"/>
          <w:bottom w:val="nil"/>
          <w:right w:val="nil"/>
          <w:between w:val="nil"/>
        </w:pBdr>
        <w:spacing w:before="100" w:after="240"/>
        <w:ind w:left="436" w:right="141" w:hanging="294"/>
        <w:rPr>
          <w:rFonts w:ascii="Helvetica" w:eastAsia="Helvetica Neue" w:hAnsi="Helvetica" w:cs="Helvetica Neue"/>
          <w:color w:val="000000"/>
          <w:sz w:val="18"/>
          <w:szCs w:val="18"/>
        </w:rPr>
      </w:pPr>
      <w:r w:rsidRPr="005C4591">
        <w:rPr>
          <w:rFonts w:ascii="Helvetica" w:eastAsia="Helvetica Neue" w:hAnsi="Helvetica" w:cs="Helvetica Neue"/>
          <w:b/>
          <w:color w:val="000000"/>
          <w:sz w:val="18"/>
          <w:szCs w:val="18"/>
        </w:rPr>
        <w:t>Introdução</w:t>
      </w:r>
    </w:p>
    <w:p w14:paraId="48927A22" w14:textId="63518439" w:rsidR="006562EE" w:rsidRPr="005C4591" w:rsidRDefault="00E7176C" w:rsidP="00A76B0F">
      <w:pPr>
        <w:widowControl w:val="0"/>
        <w:pBdr>
          <w:top w:val="nil"/>
          <w:left w:val="nil"/>
          <w:bottom w:val="nil"/>
          <w:right w:val="nil"/>
          <w:between w:val="nil"/>
        </w:pBdr>
        <w:spacing w:line="276" w:lineRule="auto"/>
        <w:ind w:right="141" w:firstLine="426"/>
        <w:jc w:val="both"/>
        <w:rPr>
          <w:rFonts w:ascii="Helvetica" w:eastAsia="Helvetica Neue" w:hAnsi="Helvetica" w:cs="Helvetica Neue"/>
          <w:color w:val="000000"/>
          <w:sz w:val="18"/>
          <w:szCs w:val="18"/>
        </w:rPr>
      </w:pPr>
      <w:r w:rsidRPr="005C4591">
        <w:rPr>
          <w:rFonts w:ascii="Helvetica" w:eastAsia="Helvetica Neue" w:hAnsi="Helvetica" w:cs="Helvetica Neue"/>
          <w:color w:val="000000"/>
          <w:sz w:val="18"/>
          <w:szCs w:val="18"/>
        </w:rPr>
        <w:t>Nas microrregiões do Estado da Paraíba</w:t>
      </w:r>
      <w:r w:rsidR="00A0508F" w:rsidRPr="005C4591">
        <w:rPr>
          <w:rFonts w:ascii="Helvetica" w:eastAsia="Helvetica Neue" w:hAnsi="Helvetica" w:cs="Helvetica Neue"/>
          <w:color w:val="000000"/>
          <w:sz w:val="18"/>
          <w:szCs w:val="18"/>
        </w:rPr>
        <w:t>,</w:t>
      </w:r>
      <w:r w:rsidRPr="005C4591">
        <w:rPr>
          <w:rFonts w:ascii="Helvetica" w:eastAsia="Helvetica Neue" w:hAnsi="Helvetica" w:cs="Helvetica Neue"/>
          <w:color w:val="000000"/>
          <w:sz w:val="18"/>
          <w:szCs w:val="18"/>
        </w:rPr>
        <w:t xml:space="preserve"> o carvão vegetal, ou biocarvão</w:t>
      </w:r>
      <w:r w:rsidR="00A0508F" w:rsidRPr="005C4591">
        <w:rPr>
          <w:rFonts w:ascii="Helvetica" w:eastAsia="Helvetica Neue" w:hAnsi="Helvetica" w:cs="Helvetica Neue"/>
          <w:color w:val="000000"/>
          <w:sz w:val="18"/>
          <w:szCs w:val="18"/>
        </w:rPr>
        <w:t xml:space="preserve"> —</w:t>
      </w:r>
      <w:r w:rsidRPr="005C4591">
        <w:rPr>
          <w:rFonts w:ascii="Helvetica" w:eastAsia="Helvetica Neue" w:hAnsi="Helvetica" w:cs="Helvetica Neue"/>
          <w:color w:val="000000"/>
          <w:sz w:val="18"/>
          <w:szCs w:val="18"/>
        </w:rPr>
        <w:t xml:space="preserve"> em função do seu baixo preço e facilidade de obtenção em relação aos produtos derivados de petróleo</w:t>
      </w:r>
      <w:r w:rsidR="00A0508F" w:rsidRPr="005C4591">
        <w:rPr>
          <w:rFonts w:ascii="Helvetica" w:eastAsia="Helvetica Neue" w:hAnsi="Helvetica" w:cs="Helvetica Neue"/>
          <w:color w:val="000000"/>
          <w:sz w:val="18"/>
          <w:szCs w:val="18"/>
        </w:rPr>
        <w:t xml:space="preserve"> —</w:t>
      </w:r>
      <w:r w:rsidRPr="005C4591">
        <w:rPr>
          <w:rFonts w:ascii="Helvetica" w:eastAsia="Helvetica Neue" w:hAnsi="Helvetica" w:cs="Helvetica Neue"/>
          <w:color w:val="000000"/>
          <w:sz w:val="18"/>
          <w:szCs w:val="18"/>
        </w:rPr>
        <w:t xml:space="preserve">, ainda tem sido utilizado como fonte de energia pelas famílias, principalmente em comunidades rurais, notadamente nos dias atuais em que a crise econômica onerou o preço de gás butano, afetando a classe média urbana e rural. Ademais, o carvão vegetal é utilizado em churrascarias e outros estabelecimentos comerciais, de modo que há geração de quantidades expressivas de finos de carvão (material de menor tamanho que não são aproveitados) que são, naturalmente, descartados. E isso se torna um problema ambiental, pois os mesmos são coletados e descartados como resíduos sólidos nos locais que deveriam ser aterros sanitários. </w:t>
      </w:r>
    </w:p>
    <w:p w14:paraId="7DD64336" w14:textId="5A273A17" w:rsidR="00E7176C" w:rsidRPr="005C4591" w:rsidRDefault="006562EE" w:rsidP="00A76B0F">
      <w:pPr>
        <w:widowControl w:val="0"/>
        <w:pBdr>
          <w:top w:val="nil"/>
          <w:left w:val="nil"/>
          <w:bottom w:val="nil"/>
          <w:right w:val="nil"/>
          <w:between w:val="nil"/>
        </w:pBdr>
        <w:spacing w:line="276" w:lineRule="auto"/>
        <w:ind w:right="141" w:firstLine="426"/>
        <w:jc w:val="both"/>
        <w:rPr>
          <w:rFonts w:ascii="Helvetica" w:eastAsia="Helvetica Neue" w:hAnsi="Helvetica" w:cs="Helvetica Neue"/>
          <w:color w:val="000000"/>
          <w:sz w:val="18"/>
          <w:szCs w:val="18"/>
        </w:rPr>
      </w:pPr>
      <w:r w:rsidRPr="005C4591">
        <w:rPr>
          <w:rFonts w:ascii="Helvetica" w:eastAsia="Helvetica Neue" w:hAnsi="Helvetica" w:cs="Helvetica Neue"/>
          <w:color w:val="000000"/>
          <w:sz w:val="18"/>
          <w:szCs w:val="18"/>
        </w:rPr>
        <w:t xml:space="preserve">Assim, há a </w:t>
      </w:r>
      <w:r w:rsidR="00E7176C" w:rsidRPr="005C4591">
        <w:rPr>
          <w:rFonts w:ascii="Helvetica" w:eastAsia="Helvetica Neue" w:hAnsi="Helvetica" w:cs="Helvetica Neue"/>
          <w:color w:val="000000"/>
          <w:sz w:val="18"/>
          <w:szCs w:val="18"/>
        </w:rPr>
        <w:t>necessidade de estudos que tragam opções de descarte ou uso desses finos de carvão, reduzindo os impactos gerados pelo produto, ou o seu aproveitamento em outra atividade econômica, o que se mostra uma alternativa econômica e ecologicamente correta e viável. Dentre as possíveis alternativas, pode-se destacar o uso do biocarvão de f</w:t>
      </w:r>
      <w:r w:rsidR="00A76B0F" w:rsidRPr="005C4591">
        <w:rPr>
          <w:rFonts w:ascii="Helvetica" w:eastAsia="Helvetica Neue" w:hAnsi="Helvetica" w:cs="Helvetica Neue"/>
          <w:color w:val="000000"/>
          <w:sz w:val="18"/>
          <w:szCs w:val="18"/>
        </w:rPr>
        <w:t xml:space="preserve">orma sustetável na agricultura, principalmente na composição de substratos para produção de mudas agrícolas. </w:t>
      </w:r>
      <w:r w:rsidRPr="005C4591">
        <w:rPr>
          <w:rFonts w:ascii="Helvetica" w:eastAsia="Helvetica Neue" w:hAnsi="Helvetica" w:cs="Helvetica Neue"/>
          <w:color w:val="000000"/>
          <w:sz w:val="18"/>
          <w:szCs w:val="18"/>
        </w:rPr>
        <w:t xml:space="preserve">Contudo, ainda são escassos e incipientes os estudos envolvendo o uso desse produto na produção de maracujazeiro-amarelo. </w:t>
      </w:r>
    </w:p>
    <w:p w14:paraId="589DA991" w14:textId="543BFB9E" w:rsidR="00A76B0F" w:rsidRPr="005C4591" w:rsidRDefault="006562EE" w:rsidP="00A76B0F">
      <w:pPr>
        <w:widowControl w:val="0"/>
        <w:pBdr>
          <w:top w:val="nil"/>
          <w:left w:val="nil"/>
          <w:bottom w:val="nil"/>
          <w:right w:val="nil"/>
          <w:between w:val="nil"/>
        </w:pBdr>
        <w:spacing w:line="276" w:lineRule="auto"/>
        <w:ind w:right="142" w:firstLine="425"/>
        <w:jc w:val="both"/>
        <w:rPr>
          <w:rFonts w:ascii="Helvetica" w:eastAsia="Helvetica Neue" w:hAnsi="Helvetica" w:cs="Helvetica Neue"/>
          <w:color w:val="000000"/>
          <w:sz w:val="18"/>
          <w:szCs w:val="18"/>
        </w:rPr>
      </w:pPr>
      <w:r w:rsidRPr="005C4591">
        <w:rPr>
          <w:rFonts w:ascii="Helvetica" w:eastAsia="Helvetica Neue" w:hAnsi="Helvetica" w:cs="Helvetica Neue"/>
          <w:color w:val="000000"/>
          <w:sz w:val="18"/>
          <w:szCs w:val="18"/>
        </w:rPr>
        <w:t>Diante disso</w:t>
      </w:r>
      <w:r w:rsidR="00A76B0F" w:rsidRPr="005C4591">
        <w:rPr>
          <w:rFonts w:ascii="Helvetica" w:eastAsia="Helvetica Neue" w:hAnsi="Helvetica" w:cs="Helvetica Neue"/>
          <w:color w:val="000000"/>
          <w:sz w:val="18"/>
          <w:szCs w:val="18"/>
        </w:rPr>
        <w:t xml:space="preserve">, este estudo objetivou avaliar os </w:t>
      </w:r>
      <w:r w:rsidR="00EC7C23" w:rsidRPr="005C4591">
        <w:rPr>
          <w:rFonts w:ascii="Helvetica" w:eastAsia="Helvetica Neue" w:hAnsi="Helvetica" w:cs="Helvetica Neue"/>
          <w:color w:val="000000"/>
          <w:sz w:val="18"/>
          <w:szCs w:val="18"/>
        </w:rPr>
        <w:t>componentes</w:t>
      </w:r>
      <w:r w:rsidR="00A76B0F" w:rsidRPr="005C4591">
        <w:rPr>
          <w:rFonts w:ascii="Helvetica" w:eastAsia="Helvetica Neue" w:hAnsi="Helvetica" w:cs="Helvetica Neue"/>
          <w:color w:val="000000"/>
          <w:sz w:val="18"/>
          <w:szCs w:val="18"/>
        </w:rPr>
        <w:t xml:space="preserve"> de crescimento de mudas de maracujazeiro-amarelo produzidas em substratos com diferentes proporções de biocarvão.</w:t>
      </w:r>
    </w:p>
    <w:p w14:paraId="29CF5C40" w14:textId="1E9CBB9D" w:rsidR="00607916" w:rsidRPr="005C4591" w:rsidRDefault="00726ADD" w:rsidP="00E7176C">
      <w:pPr>
        <w:widowControl w:val="0"/>
        <w:numPr>
          <w:ilvl w:val="0"/>
          <w:numId w:val="2"/>
        </w:numPr>
        <w:pBdr>
          <w:top w:val="nil"/>
          <w:left w:val="nil"/>
          <w:bottom w:val="nil"/>
          <w:right w:val="nil"/>
          <w:between w:val="nil"/>
        </w:pBdr>
        <w:spacing w:before="240" w:after="240"/>
        <w:ind w:right="141"/>
        <w:rPr>
          <w:rFonts w:ascii="Helvetica" w:eastAsia="Helvetica Neue" w:hAnsi="Helvetica" w:cs="Helvetica Neue"/>
          <w:color w:val="000000"/>
          <w:sz w:val="18"/>
          <w:szCs w:val="18"/>
        </w:rPr>
      </w:pPr>
      <w:r w:rsidRPr="005C4591">
        <w:rPr>
          <w:rFonts w:ascii="Helvetica" w:eastAsia="Helvetica Neue" w:hAnsi="Helvetica" w:cs="Helvetica Neue"/>
          <w:b/>
          <w:color w:val="000000"/>
          <w:sz w:val="18"/>
          <w:szCs w:val="18"/>
        </w:rPr>
        <w:t>Materia</w:t>
      </w:r>
      <w:r w:rsidR="00C65D08" w:rsidRPr="005C4591">
        <w:rPr>
          <w:rFonts w:ascii="Helvetica" w:eastAsia="Helvetica Neue" w:hAnsi="Helvetica" w:cs="Helvetica Neue"/>
          <w:b/>
          <w:color w:val="000000"/>
          <w:sz w:val="18"/>
          <w:szCs w:val="18"/>
        </w:rPr>
        <w:t>l</w:t>
      </w:r>
      <w:r w:rsidRPr="005C4591">
        <w:rPr>
          <w:rFonts w:ascii="Helvetica" w:eastAsia="Helvetica Neue" w:hAnsi="Helvetica" w:cs="Helvetica Neue"/>
          <w:b/>
          <w:color w:val="000000"/>
          <w:sz w:val="18"/>
          <w:szCs w:val="18"/>
        </w:rPr>
        <w:t xml:space="preserve"> e Métodos</w:t>
      </w:r>
    </w:p>
    <w:p w14:paraId="6030C99D" w14:textId="26E553D3" w:rsidR="006562EE" w:rsidRPr="005C4591" w:rsidRDefault="00A0508F" w:rsidP="000A22A0">
      <w:pPr>
        <w:widowControl w:val="0"/>
        <w:pBdr>
          <w:top w:val="nil"/>
          <w:left w:val="nil"/>
          <w:bottom w:val="nil"/>
          <w:right w:val="nil"/>
          <w:between w:val="nil"/>
        </w:pBdr>
        <w:spacing w:line="276" w:lineRule="auto"/>
        <w:ind w:left="141" w:right="141" w:firstLine="294"/>
        <w:jc w:val="both"/>
        <w:rPr>
          <w:rFonts w:ascii="Helvetica" w:eastAsia="Helvetica Neue" w:hAnsi="Helvetica" w:cs="Helvetica Neue"/>
          <w:color w:val="000000"/>
          <w:sz w:val="18"/>
          <w:szCs w:val="18"/>
        </w:rPr>
      </w:pPr>
      <w:r w:rsidRPr="005C4591">
        <w:rPr>
          <w:rFonts w:ascii="Helvetica" w:eastAsia="Helvetica Neue" w:hAnsi="Helvetica" w:cs="Helvetica Neue"/>
          <w:color w:val="000000"/>
          <w:sz w:val="18"/>
          <w:szCs w:val="18"/>
        </w:rPr>
        <w:t xml:space="preserve">A implantação do </w:t>
      </w:r>
      <w:r w:rsidR="00A00BCB" w:rsidRPr="005C4591">
        <w:rPr>
          <w:rFonts w:ascii="Helvetica" w:eastAsia="Helvetica Neue" w:hAnsi="Helvetica" w:cs="Helvetica Neue"/>
          <w:color w:val="000000"/>
          <w:sz w:val="18"/>
          <w:szCs w:val="18"/>
        </w:rPr>
        <w:t xml:space="preserve">experimento foi </w:t>
      </w:r>
      <w:r w:rsidRPr="005C4591">
        <w:rPr>
          <w:rFonts w:ascii="Helvetica" w:eastAsia="Helvetica Neue" w:hAnsi="Helvetica" w:cs="Helvetica Neue"/>
          <w:color w:val="000000"/>
          <w:sz w:val="18"/>
          <w:szCs w:val="18"/>
        </w:rPr>
        <w:t xml:space="preserve">em </w:t>
      </w:r>
      <w:r w:rsidR="006562EE" w:rsidRPr="005C4591">
        <w:rPr>
          <w:rFonts w:ascii="Helvetica" w:eastAsia="Helvetica Neue" w:hAnsi="Helvetica" w:cs="Helvetica Neue"/>
          <w:color w:val="000000"/>
          <w:sz w:val="18"/>
          <w:szCs w:val="18"/>
        </w:rPr>
        <w:t>viveiro telado</w:t>
      </w:r>
      <w:r w:rsidRPr="005C4591">
        <w:rPr>
          <w:rFonts w:ascii="Helvetica" w:eastAsia="Helvetica Neue" w:hAnsi="Helvetica" w:cs="Helvetica Neue"/>
          <w:color w:val="000000"/>
          <w:sz w:val="18"/>
          <w:szCs w:val="18"/>
        </w:rPr>
        <w:t>, com sombrites com 50,0% de luminosidade, apostos nas laterais e na cobertura superior,</w:t>
      </w:r>
      <w:r w:rsidR="00EC3B6D" w:rsidRPr="005C4591">
        <w:rPr>
          <w:rFonts w:ascii="Helvetica" w:eastAsia="Helvetica Neue" w:hAnsi="Helvetica" w:cs="Helvetica Neue"/>
          <w:color w:val="000000"/>
          <w:sz w:val="18"/>
          <w:szCs w:val="18"/>
        </w:rPr>
        <w:t xml:space="preserve"> no </w:t>
      </w:r>
      <w:r w:rsidR="001107E5" w:rsidRPr="005C4591">
        <w:rPr>
          <w:rFonts w:ascii="Helvetica" w:eastAsia="Helvetica Neue" w:hAnsi="Helvetica" w:cs="Helvetica Neue"/>
          <w:color w:val="000000"/>
          <w:sz w:val="18"/>
          <w:szCs w:val="18"/>
        </w:rPr>
        <w:t>I</w:t>
      </w:r>
      <w:r w:rsidR="00EC3B6D" w:rsidRPr="005C4591">
        <w:rPr>
          <w:rFonts w:ascii="Helvetica" w:eastAsia="Helvetica Neue" w:hAnsi="Helvetica" w:cs="Helvetica Neue"/>
          <w:color w:val="000000"/>
          <w:sz w:val="18"/>
          <w:szCs w:val="18"/>
        </w:rPr>
        <w:t>nstituto Federal da Paraíba, c</w:t>
      </w:r>
      <w:r w:rsidR="001107E5" w:rsidRPr="005C4591">
        <w:rPr>
          <w:rFonts w:ascii="Helvetica" w:eastAsia="Helvetica Neue" w:hAnsi="Helvetica" w:cs="Helvetica Neue"/>
          <w:color w:val="000000"/>
          <w:sz w:val="18"/>
          <w:szCs w:val="18"/>
        </w:rPr>
        <w:t>ampus Picuí</w:t>
      </w:r>
      <w:r w:rsidR="0028400E" w:rsidRPr="005C4591">
        <w:rPr>
          <w:rFonts w:ascii="Helvetica" w:eastAsia="Helvetica Neue" w:hAnsi="Helvetica" w:cs="Helvetica Neue"/>
          <w:color w:val="000000"/>
          <w:sz w:val="18"/>
          <w:szCs w:val="18"/>
        </w:rPr>
        <w:t>, utilizando</w:t>
      </w:r>
      <w:r w:rsidR="00EC3B6D" w:rsidRPr="005C4591">
        <w:rPr>
          <w:rFonts w:ascii="Helvetica" w:eastAsia="Helvetica Neue" w:hAnsi="Helvetica" w:cs="Helvetica Neue"/>
          <w:color w:val="000000"/>
          <w:sz w:val="18"/>
          <w:szCs w:val="18"/>
        </w:rPr>
        <w:t xml:space="preserve"> </w:t>
      </w:r>
      <w:r w:rsidR="006562EE" w:rsidRPr="005C4591">
        <w:rPr>
          <w:rFonts w:ascii="Helvetica" w:eastAsia="Helvetica Neue" w:hAnsi="Helvetica" w:cs="Helvetica Neue"/>
          <w:color w:val="000000"/>
          <w:sz w:val="18"/>
          <w:szCs w:val="18"/>
        </w:rPr>
        <w:t>delineamento em blocos casualizados</w:t>
      </w:r>
      <w:r w:rsidRPr="005C4591">
        <w:rPr>
          <w:rFonts w:ascii="Helvetica" w:eastAsia="Helvetica Neue" w:hAnsi="Helvetica" w:cs="Helvetica Neue"/>
          <w:color w:val="000000"/>
          <w:sz w:val="18"/>
          <w:szCs w:val="18"/>
        </w:rPr>
        <w:t>,</w:t>
      </w:r>
      <w:r w:rsidR="006562EE" w:rsidRPr="005C4591">
        <w:rPr>
          <w:rFonts w:ascii="Helvetica" w:eastAsia="Helvetica Neue" w:hAnsi="Helvetica" w:cs="Helvetica Neue"/>
          <w:color w:val="000000"/>
          <w:sz w:val="18"/>
          <w:szCs w:val="18"/>
        </w:rPr>
        <w:t xml:space="preserve"> com cinco tratamentos</w:t>
      </w:r>
      <w:r w:rsidR="003513BB">
        <w:rPr>
          <w:rFonts w:ascii="Helvetica" w:eastAsia="Helvetica Neue" w:hAnsi="Helvetica" w:cs="Helvetica Neue"/>
          <w:color w:val="000000"/>
          <w:sz w:val="18"/>
          <w:szCs w:val="18"/>
        </w:rPr>
        <w:t>,</w:t>
      </w:r>
      <w:r w:rsidR="006562EE" w:rsidRPr="005C4591">
        <w:rPr>
          <w:rFonts w:ascii="Helvetica" w:eastAsia="Helvetica Neue" w:hAnsi="Helvetica" w:cs="Helvetica Neue"/>
          <w:color w:val="000000"/>
          <w:sz w:val="18"/>
          <w:szCs w:val="18"/>
        </w:rPr>
        <w:t xml:space="preserve"> correspondentes a diferentes proporções de biocarvão no </w:t>
      </w:r>
      <w:r w:rsidR="003513BB">
        <w:rPr>
          <w:rFonts w:ascii="Helvetica" w:eastAsia="Helvetica Neue" w:hAnsi="Helvetica" w:cs="Helvetica Neue"/>
          <w:color w:val="000000"/>
          <w:sz w:val="18"/>
          <w:szCs w:val="18"/>
        </w:rPr>
        <w:t>substrato (0, 25, 50, 75 e 100%)</w:t>
      </w:r>
      <w:r w:rsidR="006562EE" w:rsidRPr="005C4591">
        <w:rPr>
          <w:rFonts w:ascii="Helvetica" w:eastAsia="Helvetica Neue" w:hAnsi="Helvetica" w:cs="Helvetica Neue"/>
          <w:color w:val="000000"/>
          <w:sz w:val="18"/>
          <w:szCs w:val="18"/>
        </w:rPr>
        <w:t xml:space="preserve"> e </w:t>
      </w:r>
      <w:r w:rsidR="003513BB">
        <w:rPr>
          <w:rFonts w:ascii="Helvetica" w:eastAsia="Helvetica Neue" w:hAnsi="Helvetica" w:cs="Helvetica Neue"/>
          <w:color w:val="000000"/>
          <w:sz w:val="18"/>
          <w:szCs w:val="18"/>
        </w:rPr>
        <w:t>doze</w:t>
      </w:r>
      <w:r w:rsidR="006562EE" w:rsidRPr="005C4591">
        <w:rPr>
          <w:rFonts w:ascii="Helvetica" w:eastAsia="Helvetica Neue" w:hAnsi="Helvetica" w:cs="Helvetica Neue"/>
          <w:color w:val="000000"/>
          <w:sz w:val="18"/>
          <w:szCs w:val="18"/>
        </w:rPr>
        <w:t xml:space="preserve"> repetições. </w:t>
      </w:r>
    </w:p>
    <w:p w14:paraId="5E11D4D6" w14:textId="15D53839" w:rsidR="006D6528" w:rsidRPr="005C4591" w:rsidRDefault="00173243" w:rsidP="003660FB">
      <w:pPr>
        <w:widowControl w:val="0"/>
        <w:pBdr>
          <w:top w:val="nil"/>
          <w:left w:val="nil"/>
          <w:bottom w:val="nil"/>
          <w:right w:val="nil"/>
          <w:between w:val="nil"/>
        </w:pBdr>
        <w:spacing w:line="276" w:lineRule="auto"/>
        <w:ind w:left="141" w:right="141" w:firstLine="294"/>
        <w:jc w:val="both"/>
        <w:rPr>
          <w:rFonts w:ascii="Helvetica" w:eastAsia="Helvetica Neue" w:hAnsi="Helvetica" w:cs="Helvetica Neue"/>
          <w:color w:val="000000"/>
          <w:sz w:val="18"/>
          <w:szCs w:val="18"/>
        </w:rPr>
      </w:pPr>
      <w:r w:rsidRPr="005C4591">
        <w:rPr>
          <w:rFonts w:ascii="Helvetica" w:eastAsia="Helvetica Neue" w:hAnsi="Helvetica" w:cs="Helvetica Neue"/>
          <w:color w:val="000000"/>
          <w:sz w:val="18"/>
          <w:szCs w:val="18"/>
        </w:rPr>
        <w:t>Para a</w:t>
      </w:r>
      <w:r w:rsidR="0028400E" w:rsidRPr="005C4591">
        <w:rPr>
          <w:rFonts w:ascii="Helvetica" w:eastAsia="Helvetica Neue" w:hAnsi="Helvetica" w:cs="Helvetica Neue"/>
          <w:color w:val="000000"/>
          <w:sz w:val="18"/>
          <w:szCs w:val="18"/>
        </w:rPr>
        <w:t xml:space="preserve"> produção dos substratos foram adicionadas quantidades de biocarvão, referentes às </w:t>
      </w:r>
      <w:r w:rsidR="00A0508F" w:rsidRPr="005C4591">
        <w:rPr>
          <w:rFonts w:ascii="Helvetica" w:eastAsia="Helvetica Neue" w:hAnsi="Helvetica" w:cs="Helvetica Neue"/>
          <w:color w:val="000000"/>
          <w:sz w:val="18"/>
          <w:szCs w:val="18"/>
        </w:rPr>
        <w:t>p</w:t>
      </w:r>
      <w:r w:rsidR="0028400E" w:rsidRPr="005C4591">
        <w:rPr>
          <w:rFonts w:ascii="Helvetica" w:eastAsia="Helvetica Neue" w:hAnsi="Helvetica" w:cs="Helvetica Neue"/>
          <w:color w:val="000000"/>
          <w:sz w:val="18"/>
          <w:szCs w:val="18"/>
        </w:rPr>
        <w:t xml:space="preserve">roporções em estudo, a um substrato-base constituído pela mistura de um Neossolo Regolítico distrófico, coletado na camada de </w:t>
      </w:r>
      <w:r w:rsidR="00A0508F" w:rsidRPr="005C4591">
        <w:rPr>
          <w:rFonts w:ascii="Helvetica" w:eastAsia="Helvetica Neue" w:hAnsi="Helvetica" w:cs="Helvetica Neue"/>
          <w:color w:val="000000"/>
          <w:sz w:val="18"/>
          <w:szCs w:val="18"/>
        </w:rPr>
        <w:t xml:space="preserve">até </w:t>
      </w:r>
      <w:r w:rsidR="0028400E" w:rsidRPr="005C4591">
        <w:rPr>
          <w:rFonts w:ascii="Helvetica" w:eastAsia="Helvetica Neue" w:hAnsi="Helvetica" w:cs="Helvetica Neue"/>
          <w:color w:val="000000"/>
          <w:sz w:val="18"/>
          <w:szCs w:val="18"/>
        </w:rPr>
        <w:t>0</w:t>
      </w:r>
      <w:r w:rsidR="006D6528" w:rsidRPr="005C4591">
        <w:rPr>
          <w:rFonts w:ascii="Helvetica" w:eastAsia="Helvetica Neue" w:hAnsi="Helvetica" w:cs="Helvetica Neue"/>
          <w:color w:val="000000"/>
          <w:sz w:val="18"/>
          <w:szCs w:val="18"/>
        </w:rPr>
        <w:t xml:space="preserve">,2 </w:t>
      </w:r>
      <w:r w:rsidR="0028400E" w:rsidRPr="005C4591">
        <w:rPr>
          <w:rFonts w:ascii="Helvetica" w:eastAsia="Helvetica Neue" w:hAnsi="Helvetica" w:cs="Helvetica Neue"/>
          <w:color w:val="000000"/>
          <w:sz w:val="18"/>
          <w:szCs w:val="18"/>
        </w:rPr>
        <w:t xml:space="preserve">m, e esterco bovino curtido na proporção 3:1 (v/v). O rejeito do carvão vegetal foi adquirido em fornos de carvoaria no município de Picuí, PB, passado por peneira de 2,0 mm de abertura de malha. Antes da semeadura, os substratos foram umedecidos até atingirem a capacidade de vaso, sendo então semeadas duas sementes de maracujazeiro-amarelo Guinezinho </w:t>
      </w:r>
      <w:r w:rsidRPr="005C4591">
        <w:rPr>
          <w:rFonts w:ascii="Helvetica" w:eastAsia="Helvetica Neue" w:hAnsi="Helvetica" w:cs="Helvetica Neue"/>
          <w:color w:val="000000"/>
          <w:sz w:val="18"/>
          <w:szCs w:val="18"/>
        </w:rPr>
        <w:t>em</w:t>
      </w:r>
      <w:r w:rsidR="006D6528" w:rsidRPr="005C4591">
        <w:rPr>
          <w:rFonts w:ascii="Helvetica" w:eastAsia="Helvetica Neue" w:hAnsi="Helvetica" w:cs="Helvetica Neue"/>
          <w:color w:val="000000"/>
          <w:sz w:val="18"/>
          <w:szCs w:val="18"/>
        </w:rPr>
        <w:t xml:space="preserve"> recipientes plásticos</w:t>
      </w:r>
      <w:r w:rsidR="0028400E" w:rsidRPr="005C4591">
        <w:rPr>
          <w:rFonts w:ascii="Helvetica" w:eastAsia="Helvetica Neue" w:hAnsi="Helvetica" w:cs="Helvetica Neue"/>
          <w:color w:val="000000"/>
          <w:sz w:val="18"/>
          <w:szCs w:val="18"/>
        </w:rPr>
        <w:t xml:space="preserve"> </w:t>
      </w:r>
      <w:r w:rsidR="006D6528" w:rsidRPr="005C4591">
        <w:rPr>
          <w:rFonts w:ascii="Helvetica" w:eastAsia="Helvetica Neue" w:hAnsi="Helvetica" w:cs="Helvetica Neue"/>
          <w:color w:val="000000"/>
          <w:sz w:val="18"/>
          <w:szCs w:val="18"/>
        </w:rPr>
        <w:t>(</w:t>
      </w:r>
      <w:r w:rsidR="0028400E" w:rsidRPr="005C4591">
        <w:rPr>
          <w:rFonts w:ascii="Helvetica" w:eastAsia="Helvetica Neue" w:hAnsi="Helvetica" w:cs="Helvetica Neue"/>
          <w:color w:val="000000"/>
          <w:sz w:val="18"/>
          <w:szCs w:val="18"/>
        </w:rPr>
        <w:t>tubetes</w:t>
      </w:r>
      <w:r w:rsidR="006D6528" w:rsidRPr="005C4591">
        <w:rPr>
          <w:rFonts w:ascii="Helvetica" w:eastAsia="Helvetica Neue" w:hAnsi="Helvetica" w:cs="Helvetica Neue"/>
          <w:color w:val="000000"/>
          <w:sz w:val="18"/>
          <w:szCs w:val="18"/>
        </w:rPr>
        <w:t>)</w:t>
      </w:r>
      <w:r w:rsidR="0028400E" w:rsidRPr="005C4591">
        <w:rPr>
          <w:rFonts w:ascii="Helvetica" w:eastAsia="Helvetica Neue" w:hAnsi="Helvetica" w:cs="Helvetica Neue"/>
          <w:color w:val="000000"/>
          <w:sz w:val="18"/>
          <w:szCs w:val="18"/>
        </w:rPr>
        <w:t xml:space="preserve"> </w:t>
      </w:r>
      <w:r w:rsidR="006D6528" w:rsidRPr="005C4591">
        <w:rPr>
          <w:rFonts w:ascii="Helvetica" w:eastAsia="Helvetica Neue" w:hAnsi="Helvetica" w:cs="Helvetica Neue"/>
          <w:color w:val="000000"/>
          <w:sz w:val="18"/>
          <w:szCs w:val="18"/>
        </w:rPr>
        <w:t>com</w:t>
      </w:r>
      <w:r w:rsidR="0028400E" w:rsidRPr="005C4591">
        <w:rPr>
          <w:rFonts w:ascii="Helvetica" w:eastAsia="Helvetica Neue" w:hAnsi="Helvetica" w:cs="Helvetica Neue"/>
          <w:color w:val="000000"/>
          <w:sz w:val="18"/>
          <w:szCs w:val="18"/>
        </w:rPr>
        <w:t xml:space="preserve"> capacidade para armazenar 280 cm</w:t>
      </w:r>
      <w:r w:rsidR="0028400E" w:rsidRPr="005C4591">
        <w:rPr>
          <w:rFonts w:ascii="Helvetica" w:eastAsia="Helvetica Neue" w:hAnsi="Helvetica" w:cs="Helvetica Neue"/>
          <w:color w:val="000000"/>
          <w:sz w:val="18"/>
          <w:szCs w:val="18"/>
          <w:vertAlign w:val="superscript"/>
        </w:rPr>
        <w:t>3</w:t>
      </w:r>
      <w:r w:rsidR="0028400E" w:rsidRPr="005C4591">
        <w:rPr>
          <w:rFonts w:ascii="Helvetica" w:eastAsia="Helvetica Neue" w:hAnsi="Helvetica" w:cs="Helvetica Neue"/>
          <w:color w:val="000000"/>
          <w:sz w:val="18"/>
          <w:szCs w:val="18"/>
        </w:rPr>
        <w:t xml:space="preserve"> de solo.</w:t>
      </w:r>
      <w:r w:rsidR="006D6528" w:rsidRPr="005C4591">
        <w:rPr>
          <w:rFonts w:ascii="Helvetica" w:eastAsia="Helvetica Neue" w:hAnsi="Helvetica" w:cs="Helvetica Neue"/>
          <w:color w:val="000000"/>
          <w:sz w:val="18"/>
          <w:szCs w:val="18"/>
        </w:rPr>
        <w:t xml:space="preserve"> O desbaste foi realizado logo após a emergência das plântulas com o intuito de deixar apenas a mais vigorosa. </w:t>
      </w:r>
      <w:r w:rsidR="0028400E" w:rsidRPr="005C4591">
        <w:rPr>
          <w:rFonts w:ascii="Helvetica" w:eastAsia="Helvetica Neue" w:hAnsi="Helvetica" w:cs="Helvetica Neue"/>
          <w:color w:val="000000"/>
          <w:sz w:val="18"/>
          <w:szCs w:val="18"/>
        </w:rPr>
        <w:t xml:space="preserve">O período experimental </w:t>
      </w:r>
      <w:r w:rsidR="006D6528" w:rsidRPr="005C4591">
        <w:rPr>
          <w:rFonts w:ascii="Helvetica" w:eastAsia="Helvetica Neue" w:hAnsi="Helvetica" w:cs="Helvetica Neue"/>
          <w:color w:val="000000"/>
          <w:sz w:val="18"/>
          <w:szCs w:val="18"/>
        </w:rPr>
        <w:t>foi</w:t>
      </w:r>
      <w:r w:rsidR="0028400E" w:rsidRPr="005C4591">
        <w:rPr>
          <w:rFonts w:ascii="Helvetica" w:eastAsia="Helvetica Neue" w:hAnsi="Helvetica" w:cs="Helvetica Neue"/>
          <w:color w:val="000000"/>
          <w:sz w:val="18"/>
          <w:szCs w:val="18"/>
        </w:rPr>
        <w:t xml:space="preserve"> de 60 dias após a emergência.</w:t>
      </w:r>
      <w:r w:rsidR="00A0508F" w:rsidRPr="005C4591">
        <w:rPr>
          <w:rFonts w:ascii="Helvetica" w:eastAsia="Helvetica Neue" w:hAnsi="Helvetica" w:cs="Helvetica Neue"/>
          <w:color w:val="000000"/>
          <w:sz w:val="18"/>
          <w:szCs w:val="18"/>
        </w:rPr>
        <w:t xml:space="preserve"> </w:t>
      </w:r>
      <w:r w:rsidR="006D6528" w:rsidRPr="005C4591">
        <w:rPr>
          <w:rFonts w:ascii="Helvetica" w:eastAsia="Helvetica Neue" w:hAnsi="Helvetica" w:cs="Helvetica Neue"/>
          <w:color w:val="000000"/>
          <w:sz w:val="18"/>
          <w:szCs w:val="18"/>
        </w:rPr>
        <w:t xml:space="preserve">A irrigação foi feita com água </w:t>
      </w:r>
      <w:r w:rsidR="00A0508F" w:rsidRPr="005C4591">
        <w:rPr>
          <w:rFonts w:ascii="Helvetica" w:eastAsia="Helvetica Neue" w:hAnsi="Helvetica" w:cs="Helvetica Neue"/>
          <w:color w:val="000000"/>
          <w:sz w:val="18"/>
          <w:szCs w:val="18"/>
        </w:rPr>
        <w:t>de</w:t>
      </w:r>
      <w:r w:rsidR="006D6528" w:rsidRPr="005C4591">
        <w:rPr>
          <w:rFonts w:ascii="Helvetica" w:eastAsia="Helvetica Neue" w:hAnsi="Helvetica" w:cs="Helvetica Neue"/>
          <w:color w:val="000000"/>
          <w:sz w:val="18"/>
          <w:szCs w:val="18"/>
        </w:rPr>
        <w:t xml:space="preserve"> condutividade elétrica de 0,1 dS m</w:t>
      </w:r>
      <w:r w:rsidR="006D6528" w:rsidRPr="005C4591">
        <w:rPr>
          <w:rFonts w:ascii="Helvetica" w:eastAsia="Helvetica Neue" w:hAnsi="Helvetica" w:cs="Helvetica Neue"/>
          <w:color w:val="000000"/>
          <w:sz w:val="18"/>
          <w:szCs w:val="18"/>
          <w:vertAlign w:val="superscript"/>
        </w:rPr>
        <w:t>-1</w:t>
      </w:r>
      <w:r w:rsidR="00A0508F" w:rsidRPr="005C4591">
        <w:rPr>
          <w:rFonts w:ascii="Helvetica" w:eastAsia="Helvetica Neue" w:hAnsi="Helvetica" w:cs="Helvetica Neue"/>
          <w:color w:val="000000"/>
          <w:sz w:val="18"/>
          <w:szCs w:val="18"/>
        </w:rPr>
        <w:t>.</w:t>
      </w:r>
      <w:r w:rsidR="006D6528" w:rsidRPr="005C4591">
        <w:rPr>
          <w:rFonts w:ascii="Helvetica" w:eastAsia="Helvetica Neue" w:hAnsi="Helvetica" w:cs="Helvetica Neue"/>
          <w:color w:val="000000"/>
          <w:sz w:val="18"/>
          <w:szCs w:val="18"/>
        </w:rPr>
        <w:t xml:space="preserve"> </w:t>
      </w:r>
    </w:p>
    <w:p w14:paraId="36194E5D" w14:textId="369C3951" w:rsidR="001C6EA1" w:rsidRPr="005C4591" w:rsidRDefault="00B602E0" w:rsidP="001C6EA1">
      <w:pPr>
        <w:pBdr>
          <w:top w:val="nil"/>
          <w:left w:val="nil"/>
          <w:bottom w:val="nil"/>
          <w:right w:val="nil"/>
          <w:between w:val="nil"/>
        </w:pBdr>
        <w:tabs>
          <w:tab w:val="left" w:pos="2855"/>
        </w:tabs>
        <w:spacing w:line="276" w:lineRule="auto"/>
        <w:ind w:left="192" w:right="141" w:firstLine="234"/>
        <w:jc w:val="both"/>
        <w:rPr>
          <w:rFonts w:ascii="Helvetica" w:eastAsia="Helvetica Neue" w:hAnsi="Helvetica" w:cs="Helvetica Neue"/>
          <w:color w:val="000000"/>
          <w:sz w:val="18"/>
          <w:szCs w:val="18"/>
        </w:rPr>
      </w:pPr>
      <w:r w:rsidRPr="005C4591">
        <w:rPr>
          <w:rFonts w:ascii="Helvetica" w:eastAsia="Helvetica Neue" w:hAnsi="Helvetica" w:cs="Helvetica Neue"/>
          <w:color w:val="000000"/>
          <w:sz w:val="18"/>
          <w:szCs w:val="18"/>
        </w:rPr>
        <w:t>Foram analisadas</w:t>
      </w:r>
      <w:r w:rsidR="001C6EA1" w:rsidRPr="005C4591">
        <w:rPr>
          <w:rFonts w:ascii="Helvetica" w:eastAsia="Helvetica Neue" w:hAnsi="Helvetica" w:cs="Helvetica Neue"/>
          <w:color w:val="000000"/>
          <w:sz w:val="18"/>
          <w:szCs w:val="18"/>
        </w:rPr>
        <w:t xml:space="preserve"> </w:t>
      </w:r>
      <w:r w:rsidR="00173243" w:rsidRPr="005C4591">
        <w:rPr>
          <w:rFonts w:ascii="Helvetica" w:eastAsia="Helvetica Neue" w:hAnsi="Helvetica" w:cs="Helvetica Neue"/>
          <w:color w:val="000000"/>
          <w:sz w:val="18"/>
          <w:szCs w:val="18"/>
        </w:rPr>
        <w:t xml:space="preserve">as </w:t>
      </w:r>
      <w:r w:rsidR="001C6EA1" w:rsidRPr="005C4591">
        <w:rPr>
          <w:rFonts w:ascii="Helvetica" w:eastAsia="Helvetica Neue" w:hAnsi="Helvetica" w:cs="Helvetica Neue"/>
          <w:color w:val="000000"/>
          <w:sz w:val="18"/>
          <w:szCs w:val="18"/>
        </w:rPr>
        <w:t>taxas de crescimento absoluto em altura (TCAA</w:t>
      </w:r>
      <w:r w:rsidR="00B7015E" w:rsidRPr="005C4591">
        <w:rPr>
          <w:rFonts w:ascii="Helvetica" w:eastAsia="Helvetica Neue" w:hAnsi="Helvetica" w:cs="Helvetica Neue"/>
          <w:color w:val="000000"/>
          <w:sz w:val="18"/>
          <w:szCs w:val="18"/>
        </w:rPr>
        <w:t>) e em diâm</w:t>
      </w:r>
      <w:r w:rsidR="00A0508F" w:rsidRPr="005C4591">
        <w:rPr>
          <w:rFonts w:ascii="Helvetica" w:eastAsia="Helvetica Neue" w:hAnsi="Helvetica" w:cs="Helvetica Neue"/>
          <w:color w:val="000000"/>
          <w:sz w:val="18"/>
          <w:szCs w:val="18"/>
        </w:rPr>
        <w:t>e</w:t>
      </w:r>
      <w:r w:rsidR="00B7015E" w:rsidRPr="005C4591">
        <w:rPr>
          <w:rFonts w:ascii="Helvetica" w:eastAsia="Helvetica Neue" w:hAnsi="Helvetica" w:cs="Helvetica Neue"/>
          <w:color w:val="000000"/>
          <w:sz w:val="18"/>
          <w:szCs w:val="18"/>
        </w:rPr>
        <w:t>tro caulinar (TCADC)</w:t>
      </w:r>
      <w:r w:rsidR="00173243" w:rsidRPr="005C4591">
        <w:rPr>
          <w:rFonts w:ascii="Helvetica" w:eastAsia="Helvetica Neue" w:hAnsi="Helvetica" w:cs="Helvetica Neue"/>
          <w:color w:val="000000"/>
          <w:sz w:val="18"/>
          <w:szCs w:val="18"/>
        </w:rPr>
        <w:t>,</w:t>
      </w:r>
      <w:r w:rsidR="00BB7C45" w:rsidRPr="005C4591">
        <w:rPr>
          <w:rFonts w:ascii="Helvetica" w:eastAsia="Helvetica Neue" w:hAnsi="Helvetica" w:cs="Helvetica Neue"/>
          <w:color w:val="000000"/>
          <w:sz w:val="18"/>
          <w:szCs w:val="18"/>
        </w:rPr>
        <w:t xml:space="preserve"> taxa de crescimento absoluto em fitomassa fresca epígea (TCAFFE),</w:t>
      </w:r>
      <w:r w:rsidR="00173243" w:rsidRPr="005C4591">
        <w:rPr>
          <w:rFonts w:ascii="Helvetica" w:eastAsia="Helvetica Neue" w:hAnsi="Helvetica" w:cs="Helvetica Neue"/>
          <w:color w:val="000000"/>
          <w:sz w:val="18"/>
          <w:szCs w:val="18"/>
        </w:rPr>
        <w:t xml:space="preserve"> número de folhas e</w:t>
      </w:r>
      <w:r w:rsidRPr="005C4591">
        <w:rPr>
          <w:rFonts w:ascii="Helvetica" w:eastAsia="Helvetica Neue" w:hAnsi="Helvetica" w:cs="Helvetica Neue"/>
          <w:color w:val="000000"/>
          <w:sz w:val="18"/>
          <w:szCs w:val="18"/>
        </w:rPr>
        <w:t xml:space="preserve"> área foliar. A altura foi mensurada com auxílio de régua graduada do coleto </w:t>
      </w:r>
      <w:r w:rsidR="0037538F" w:rsidRPr="005C4591">
        <w:rPr>
          <w:rFonts w:ascii="Helvetica" w:eastAsia="Helvetica Neue" w:hAnsi="Helvetica" w:cs="Helvetica Neue"/>
          <w:color w:val="000000"/>
          <w:sz w:val="18"/>
          <w:szCs w:val="18"/>
        </w:rPr>
        <w:t>à projeção da folha central</w:t>
      </w:r>
      <w:r w:rsidRPr="005C4591">
        <w:rPr>
          <w:rFonts w:ascii="Helvetica" w:eastAsia="Helvetica Neue" w:hAnsi="Helvetica" w:cs="Helvetica Neue"/>
          <w:color w:val="000000"/>
          <w:sz w:val="18"/>
          <w:szCs w:val="18"/>
        </w:rPr>
        <w:t xml:space="preserve"> e o diâmetro do caule com medição à base do coleto, com auxílio de paquímetro digital</w:t>
      </w:r>
      <w:r w:rsidR="0037538F" w:rsidRPr="005C4591">
        <w:rPr>
          <w:rFonts w:ascii="Helvetica" w:eastAsia="Helvetica Neue" w:hAnsi="Helvetica" w:cs="Helvetica Neue"/>
          <w:color w:val="000000"/>
          <w:sz w:val="18"/>
          <w:szCs w:val="18"/>
        </w:rPr>
        <w:t>.</w:t>
      </w:r>
      <w:r w:rsidR="00876D1B" w:rsidRPr="005C4591">
        <w:rPr>
          <w:rFonts w:ascii="Helvetica" w:eastAsia="Helvetica Neue" w:hAnsi="Helvetica" w:cs="Helvetica Neue"/>
          <w:color w:val="000000"/>
          <w:sz w:val="18"/>
          <w:szCs w:val="18"/>
        </w:rPr>
        <w:t xml:space="preserve"> As</w:t>
      </w:r>
      <w:r w:rsidRPr="005C4591">
        <w:rPr>
          <w:rFonts w:ascii="Helvetica" w:eastAsia="Helvetica Neue" w:hAnsi="Helvetica" w:cs="Helvetica Neue"/>
          <w:color w:val="000000"/>
          <w:sz w:val="18"/>
          <w:szCs w:val="18"/>
        </w:rPr>
        <w:t xml:space="preserve"> </w:t>
      </w:r>
      <w:r w:rsidR="00BA6A3E" w:rsidRPr="005C4591">
        <w:rPr>
          <w:rFonts w:ascii="Helvetica" w:eastAsia="Helvetica Neue" w:hAnsi="Helvetica" w:cs="Helvetica Neue"/>
          <w:color w:val="000000"/>
          <w:sz w:val="18"/>
          <w:szCs w:val="18"/>
        </w:rPr>
        <w:t>TCAA e</w:t>
      </w:r>
      <w:r w:rsidR="00876D1B" w:rsidRPr="005C4591">
        <w:rPr>
          <w:rFonts w:ascii="Helvetica" w:eastAsia="Helvetica Neue" w:hAnsi="Helvetica" w:cs="Helvetica Neue"/>
          <w:color w:val="000000"/>
          <w:sz w:val="18"/>
          <w:szCs w:val="18"/>
        </w:rPr>
        <w:t xml:space="preserve"> TCADC foram calculadas conforme Benincasa (2003). </w:t>
      </w:r>
      <w:r w:rsidR="00720611" w:rsidRPr="005C4591">
        <w:rPr>
          <w:rFonts w:ascii="Helvetica" w:eastAsia="Helvetica Neue" w:hAnsi="Helvetica" w:cs="Helvetica Neue"/>
          <w:color w:val="000000"/>
          <w:sz w:val="18"/>
          <w:szCs w:val="18"/>
        </w:rPr>
        <w:t xml:space="preserve">O número de folhas foi obtido por meio da contagem de todas as folhas de cada planta. </w:t>
      </w:r>
      <w:r w:rsidR="00981509" w:rsidRPr="005C4591">
        <w:rPr>
          <w:rFonts w:ascii="Helvetica" w:eastAsia="Helvetica Neue" w:hAnsi="Helvetica" w:cs="Helvetica Neue"/>
          <w:color w:val="000000"/>
          <w:sz w:val="18"/>
          <w:szCs w:val="18"/>
        </w:rPr>
        <w:t xml:space="preserve">A </w:t>
      </w:r>
      <w:r w:rsidR="00720611" w:rsidRPr="005C4591">
        <w:rPr>
          <w:rFonts w:ascii="Helvetica" w:eastAsia="Helvetica Neue" w:hAnsi="Helvetica" w:cs="Helvetica Neue"/>
          <w:color w:val="000000"/>
          <w:sz w:val="18"/>
          <w:szCs w:val="18"/>
        </w:rPr>
        <w:t>área foliar foi</w:t>
      </w:r>
      <w:r w:rsidR="001C6EA1" w:rsidRPr="005C4591">
        <w:rPr>
          <w:rFonts w:ascii="Helvetica" w:eastAsia="Helvetica Neue" w:hAnsi="Helvetica" w:cs="Helvetica Neue"/>
          <w:color w:val="000000"/>
          <w:sz w:val="18"/>
          <w:szCs w:val="18"/>
        </w:rPr>
        <w:t xml:space="preserve"> estimada conforme</w:t>
      </w:r>
      <w:r w:rsidR="00720611" w:rsidRPr="005C4591">
        <w:rPr>
          <w:rFonts w:ascii="Helvetica" w:eastAsia="Helvetica Neue" w:hAnsi="Helvetica" w:cs="Helvetica Neue"/>
          <w:color w:val="000000"/>
          <w:sz w:val="18"/>
          <w:szCs w:val="18"/>
        </w:rPr>
        <w:t xml:space="preserve"> </w:t>
      </w:r>
      <w:r w:rsidR="00571927" w:rsidRPr="005C4591">
        <w:rPr>
          <w:rFonts w:ascii="Helvetica" w:eastAsia="Helvetica Neue" w:hAnsi="Helvetica" w:cs="Helvetica Neue"/>
          <w:color w:val="000000"/>
          <w:sz w:val="18"/>
          <w:szCs w:val="18"/>
        </w:rPr>
        <w:t xml:space="preserve">a </w:t>
      </w:r>
      <w:r w:rsidR="00720611" w:rsidRPr="005C4591">
        <w:rPr>
          <w:rFonts w:ascii="Helvetica" w:eastAsia="Helvetica Neue" w:hAnsi="Helvetica" w:cs="Helvetica Neue"/>
          <w:color w:val="000000"/>
          <w:sz w:val="18"/>
          <w:szCs w:val="18"/>
        </w:rPr>
        <w:t xml:space="preserve">equação </w:t>
      </w:r>
      <w:r w:rsidRPr="005C4591">
        <w:rPr>
          <w:rFonts w:ascii="Helvetica" w:eastAsia="Helvetica Neue" w:hAnsi="Helvetica" w:cs="Helvetica Neue"/>
          <w:color w:val="000000"/>
          <w:sz w:val="18"/>
          <w:szCs w:val="18"/>
        </w:rPr>
        <w:t xml:space="preserve">1 </w:t>
      </w:r>
      <w:r w:rsidR="00720611" w:rsidRPr="005C4591">
        <w:rPr>
          <w:rFonts w:ascii="Helvetica" w:eastAsia="Helvetica Neue" w:hAnsi="Helvetica" w:cs="Helvetica Neue"/>
          <w:color w:val="000000"/>
          <w:sz w:val="18"/>
          <w:szCs w:val="18"/>
        </w:rPr>
        <w:t xml:space="preserve">e </w:t>
      </w:r>
      <w:r w:rsidRPr="005C4591">
        <w:rPr>
          <w:rFonts w:ascii="Helvetica" w:eastAsia="Helvetica Neue" w:hAnsi="Helvetica" w:cs="Helvetica Neue"/>
          <w:color w:val="000000"/>
          <w:sz w:val="18"/>
          <w:szCs w:val="18"/>
        </w:rPr>
        <w:t>uso do fator de correção propost</w:t>
      </w:r>
      <w:r w:rsidR="00720611" w:rsidRPr="005C4591">
        <w:rPr>
          <w:rFonts w:ascii="Helvetica" w:eastAsia="Helvetica Neue" w:hAnsi="Helvetica" w:cs="Helvetica Neue"/>
          <w:color w:val="000000"/>
          <w:sz w:val="18"/>
          <w:szCs w:val="18"/>
        </w:rPr>
        <w:t>o por Freire e Nascimento (2018):</w:t>
      </w:r>
      <w:r w:rsidR="001C6EA1" w:rsidRPr="005C4591">
        <w:rPr>
          <w:rFonts w:ascii="Helvetica" w:eastAsia="Helvetica Neue" w:hAnsi="Helvetica" w:cs="Helvetica Neue"/>
          <w:color w:val="000000"/>
          <w:sz w:val="18"/>
          <w:szCs w:val="18"/>
        </w:rPr>
        <w:t xml:space="preserve"> </w:t>
      </w:r>
    </w:p>
    <w:p w14:paraId="5E43C997" w14:textId="77777777" w:rsidR="00876D1B" w:rsidRPr="005C4591" w:rsidRDefault="00876D1B" w:rsidP="001C6EA1">
      <w:pPr>
        <w:pBdr>
          <w:top w:val="nil"/>
          <w:left w:val="nil"/>
          <w:bottom w:val="nil"/>
          <w:right w:val="nil"/>
          <w:between w:val="nil"/>
        </w:pBdr>
        <w:tabs>
          <w:tab w:val="left" w:pos="2855"/>
        </w:tabs>
        <w:spacing w:line="276" w:lineRule="auto"/>
        <w:ind w:left="192" w:right="141" w:firstLine="234"/>
        <w:jc w:val="both"/>
        <w:rPr>
          <w:rFonts w:ascii="Helvetica" w:eastAsia="Helvetica Neue" w:hAnsi="Helvetica" w:cs="Helvetica Neue"/>
          <w:color w:val="000000"/>
          <w:sz w:val="18"/>
          <w:szCs w:val="18"/>
        </w:rPr>
      </w:pPr>
    </w:p>
    <w:p w14:paraId="5E6EBDDD" w14:textId="4483DF3E" w:rsidR="00876D1B" w:rsidRPr="005C4591" w:rsidRDefault="00876D1B" w:rsidP="00876D1B">
      <w:pPr>
        <w:pBdr>
          <w:top w:val="nil"/>
          <w:left w:val="nil"/>
          <w:bottom w:val="nil"/>
          <w:right w:val="nil"/>
          <w:between w:val="nil"/>
        </w:pBdr>
        <w:tabs>
          <w:tab w:val="left" w:pos="2855"/>
        </w:tabs>
        <w:spacing w:line="276" w:lineRule="auto"/>
        <w:ind w:left="192" w:right="141"/>
        <w:jc w:val="right"/>
        <w:rPr>
          <w:rFonts w:ascii="Helvetica" w:eastAsia="Helvetica Neue" w:hAnsi="Helvetica" w:cs="Helvetica Neue"/>
          <w:color w:val="000000"/>
          <w:sz w:val="18"/>
          <w:szCs w:val="18"/>
        </w:rPr>
      </w:pPr>
      <m:oMath>
        <m:r>
          <w:rPr>
            <w:rFonts w:ascii="Cambria Math" w:eastAsia="Helvetica Neue" w:hAnsi="Cambria Math" w:cs="Helvetica Neue"/>
            <w:color w:val="000000"/>
            <w:sz w:val="18"/>
            <w:szCs w:val="18"/>
          </w:rPr>
          <m:t>AF=C×L×FC</m:t>
        </m:r>
      </m:oMath>
      <w:r w:rsidRPr="005C4591">
        <w:rPr>
          <w:rFonts w:ascii="Helvetica" w:eastAsia="Helvetica Neue" w:hAnsi="Helvetica" w:cs="Helvetica Neue"/>
          <w:color w:val="000000"/>
          <w:sz w:val="18"/>
          <w:szCs w:val="18"/>
        </w:rPr>
        <w:t xml:space="preserve">                                                                                                  (1)</w:t>
      </w:r>
    </w:p>
    <w:p w14:paraId="45B5686F" w14:textId="77777777" w:rsidR="00876D1B" w:rsidRPr="005C4591" w:rsidRDefault="00876D1B" w:rsidP="00876D1B">
      <w:pPr>
        <w:pBdr>
          <w:top w:val="nil"/>
          <w:left w:val="nil"/>
          <w:bottom w:val="nil"/>
          <w:right w:val="nil"/>
          <w:between w:val="nil"/>
        </w:pBdr>
        <w:tabs>
          <w:tab w:val="left" w:pos="2855"/>
        </w:tabs>
        <w:spacing w:line="276" w:lineRule="auto"/>
        <w:ind w:left="192" w:right="141"/>
        <w:jc w:val="center"/>
        <w:rPr>
          <w:rFonts w:ascii="Helvetica" w:eastAsia="Helvetica Neue" w:hAnsi="Helvetica" w:cs="Helvetica Neue"/>
          <w:color w:val="000000"/>
          <w:sz w:val="18"/>
          <w:szCs w:val="18"/>
        </w:rPr>
      </w:pPr>
    </w:p>
    <w:p w14:paraId="54B1FE8D" w14:textId="7253D3DF" w:rsidR="001C6EA1" w:rsidRPr="005C4591" w:rsidRDefault="00876D1B" w:rsidP="001C6EA1">
      <w:pPr>
        <w:pBdr>
          <w:top w:val="nil"/>
          <w:left w:val="nil"/>
          <w:bottom w:val="nil"/>
          <w:right w:val="nil"/>
          <w:between w:val="nil"/>
        </w:pBdr>
        <w:tabs>
          <w:tab w:val="left" w:pos="2855"/>
        </w:tabs>
        <w:spacing w:line="276" w:lineRule="auto"/>
        <w:ind w:left="192" w:right="141"/>
        <w:jc w:val="both"/>
        <w:rPr>
          <w:rFonts w:ascii="Helvetica" w:eastAsia="Helvetica Neue" w:hAnsi="Helvetica" w:cs="Helvetica Neue"/>
          <w:color w:val="000000"/>
          <w:sz w:val="18"/>
          <w:szCs w:val="18"/>
        </w:rPr>
      </w:pPr>
      <w:r w:rsidRPr="005C4591">
        <w:rPr>
          <w:rFonts w:ascii="Helvetica" w:eastAsia="Helvetica Neue" w:hAnsi="Helvetica" w:cs="Helvetica Neue"/>
          <w:color w:val="000000"/>
          <w:sz w:val="18"/>
          <w:szCs w:val="18"/>
        </w:rPr>
        <w:t>em que</w:t>
      </w:r>
      <w:r w:rsidR="001C6EA1" w:rsidRPr="005C4591">
        <w:rPr>
          <w:rFonts w:ascii="Helvetica" w:eastAsia="Helvetica Neue" w:hAnsi="Helvetica" w:cs="Helvetica Neue"/>
          <w:color w:val="000000"/>
          <w:sz w:val="18"/>
          <w:szCs w:val="18"/>
        </w:rPr>
        <w:t>: AF = área foliar (cm</w:t>
      </w:r>
      <w:r w:rsidR="001C6EA1" w:rsidRPr="005C4591">
        <w:rPr>
          <w:rFonts w:ascii="Helvetica" w:eastAsia="Helvetica Neue" w:hAnsi="Helvetica" w:cs="Helvetica Neue"/>
          <w:color w:val="000000"/>
          <w:sz w:val="18"/>
          <w:szCs w:val="18"/>
          <w:vertAlign w:val="superscript"/>
        </w:rPr>
        <w:t>2</w:t>
      </w:r>
      <w:r w:rsidR="001C6EA1" w:rsidRPr="005C4591">
        <w:rPr>
          <w:rFonts w:ascii="Helvetica" w:eastAsia="Helvetica Neue" w:hAnsi="Helvetica" w:cs="Helvetica Neue"/>
          <w:color w:val="000000"/>
          <w:sz w:val="18"/>
          <w:szCs w:val="18"/>
        </w:rPr>
        <w:t xml:space="preserve"> planta</w:t>
      </w:r>
      <w:r w:rsidR="001C6EA1" w:rsidRPr="005C4591">
        <w:rPr>
          <w:rFonts w:ascii="Helvetica" w:eastAsia="Helvetica Neue" w:hAnsi="Helvetica" w:cs="Helvetica Neue"/>
          <w:color w:val="000000"/>
          <w:sz w:val="18"/>
          <w:szCs w:val="18"/>
          <w:vertAlign w:val="superscript"/>
        </w:rPr>
        <w:t>-1</w:t>
      </w:r>
      <w:r w:rsidR="001C6EA1" w:rsidRPr="005C4591">
        <w:rPr>
          <w:rFonts w:ascii="Helvetica" w:eastAsia="Helvetica Neue" w:hAnsi="Helvetica" w:cs="Helvetica Neue"/>
          <w:color w:val="000000"/>
          <w:sz w:val="18"/>
          <w:szCs w:val="18"/>
        </w:rPr>
        <w:t xml:space="preserve">); C = comprimento foliar (cm); L = largura foliar (cm); </w:t>
      </w:r>
      <w:r w:rsidR="00B602E0" w:rsidRPr="005C4591">
        <w:rPr>
          <w:rFonts w:ascii="Helvetica" w:eastAsia="Helvetica Neue" w:hAnsi="Helvetica" w:cs="Helvetica Neue"/>
          <w:color w:val="000000"/>
          <w:sz w:val="18"/>
          <w:szCs w:val="18"/>
        </w:rPr>
        <w:t>FC</w:t>
      </w:r>
      <w:r w:rsidR="001C6EA1" w:rsidRPr="005C4591">
        <w:rPr>
          <w:rFonts w:ascii="Helvetica" w:eastAsia="Helvetica Neue" w:hAnsi="Helvetica" w:cs="Helvetica Neue"/>
          <w:color w:val="000000"/>
          <w:sz w:val="18"/>
          <w:szCs w:val="18"/>
        </w:rPr>
        <w:t xml:space="preserve"> = fator de correção (0,75);</w:t>
      </w:r>
    </w:p>
    <w:p w14:paraId="7182F005" w14:textId="10CB2CC2" w:rsidR="0028400E" w:rsidRPr="005C4591" w:rsidRDefault="0028400E" w:rsidP="00876D1B">
      <w:pPr>
        <w:widowControl w:val="0"/>
        <w:pBdr>
          <w:top w:val="nil"/>
          <w:left w:val="nil"/>
          <w:bottom w:val="nil"/>
          <w:right w:val="nil"/>
          <w:between w:val="nil"/>
        </w:pBdr>
        <w:spacing w:line="276" w:lineRule="auto"/>
        <w:ind w:right="141"/>
        <w:jc w:val="both"/>
        <w:rPr>
          <w:rFonts w:ascii="Helvetica" w:eastAsia="Helvetica Neue" w:hAnsi="Helvetica" w:cs="Helvetica Neue"/>
          <w:color w:val="000000"/>
          <w:sz w:val="18"/>
          <w:szCs w:val="18"/>
        </w:rPr>
      </w:pPr>
    </w:p>
    <w:p w14:paraId="16D66193" w14:textId="246442D7" w:rsidR="00607916" w:rsidRPr="005C4591" w:rsidRDefault="00386C91" w:rsidP="000A22A0">
      <w:pPr>
        <w:widowControl w:val="0"/>
        <w:pBdr>
          <w:top w:val="nil"/>
          <w:left w:val="nil"/>
          <w:bottom w:val="nil"/>
          <w:right w:val="nil"/>
          <w:between w:val="nil"/>
        </w:pBdr>
        <w:spacing w:line="276" w:lineRule="auto"/>
        <w:ind w:left="141" w:right="141" w:firstLine="294"/>
        <w:jc w:val="both"/>
        <w:rPr>
          <w:rFonts w:ascii="Helvetica" w:eastAsia="Helvetica Neue" w:hAnsi="Helvetica" w:cs="Helvetica Neue"/>
          <w:color w:val="000000"/>
          <w:sz w:val="18"/>
          <w:szCs w:val="18"/>
        </w:rPr>
      </w:pPr>
      <w:r w:rsidRPr="005C4591">
        <w:rPr>
          <w:rFonts w:ascii="Helvetica" w:eastAsia="Helvetica Neue" w:hAnsi="Helvetica" w:cs="Helvetica Neue"/>
          <w:color w:val="000000"/>
          <w:sz w:val="18"/>
          <w:szCs w:val="18"/>
        </w:rPr>
        <w:t xml:space="preserve">Os dados foram </w:t>
      </w:r>
      <w:r w:rsidR="00876D1B" w:rsidRPr="005C4591">
        <w:rPr>
          <w:rFonts w:ascii="Helvetica" w:eastAsia="Helvetica Neue" w:hAnsi="Helvetica" w:cs="Helvetica Neue"/>
          <w:color w:val="000000"/>
          <w:sz w:val="18"/>
          <w:szCs w:val="18"/>
        </w:rPr>
        <w:t xml:space="preserve">submetidos às </w:t>
      </w:r>
      <w:r w:rsidR="00173243" w:rsidRPr="005C4591">
        <w:rPr>
          <w:rFonts w:ascii="Helvetica" w:eastAsia="Helvetica Neue" w:hAnsi="Helvetica" w:cs="Helvetica Neue"/>
          <w:color w:val="000000"/>
          <w:sz w:val="18"/>
          <w:szCs w:val="18"/>
        </w:rPr>
        <w:t>análises de variância e regressõ</w:t>
      </w:r>
      <w:r w:rsidR="00876D1B" w:rsidRPr="005C4591">
        <w:rPr>
          <w:rFonts w:ascii="Helvetica" w:eastAsia="Helvetica Neue" w:hAnsi="Helvetica" w:cs="Helvetica Neue"/>
          <w:color w:val="000000"/>
          <w:sz w:val="18"/>
          <w:szCs w:val="18"/>
        </w:rPr>
        <w:t>es lineares</w:t>
      </w:r>
      <w:r w:rsidR="00571927" w:rsidRPr="005C4591">
        <w:rPr>
          <w:rFonts w:ascii="Helvetica" w:eastAsia="Helvetica Neue" w:hAnsi="Helvetica" w:cs="Helvetica Neue"/>
          <w:color w:val="000000"/>
          <w:sz w:val="18"/>
          <w:szCs w:val="18"/>
        </w:rPr>
        <w:t>,</w:t>
      </w:r>
      <w:r w:rsidR="00876D1B" w:rsidRPr="005C4591">
        <w:rPr>
          <w:rFonts w:ascii="Helvetica" w:eastAsia="Helvetica Neue" w:hAnsi="Helvetica" w:cs="Helvetica Neue"/>
          <w:color w:val="000000"/>
          <w:sz w:val="18"/>
          <w:szCs w:val="18"/>
        </w:rPr>
        <w:t xml:space="preserve"> ou quadráticas, relacionando as variáveis e as proporções de biocarvão </w:t>
      </w:r>
      <w:r w:rsidR="00173243" w:rsidRPr="005C4591">
        <w:rPr>
          <w:rFonts w:ascii="Helvetica" w:eastAsia="Helvetica Neue" w:hAnsi="Helvetica" w:cs="Helvetica Neue"/>
          <w:color w:val="000000"/>
          <w:sz w:val="18"/>
          <w:szCs w:val="18"/>
        </w:rPr>
        <w:t>n</w:t>
      </w:r>
      <w:r w:rsidR="00876D1B" w:rsidRPr="005C4591">
        <w:rPr>
          <w:rFonts w:ascii="Helvetica" w:eastAsia="Helvetica Neue" w:hAnsi="Helvetica" w:cs="Helvetica Neue"/>
          <w:color w:val="000000"/>
          <w:sz w:val="18"/>
          <w:szCs w:val="18"/>
        </w:rPr>
        <w:t xml:space="preserve">o substrato, e processados utilizando o </w:t>
      </w:r>
      <w:r w:rsidR="003660FB" w:rsidRPr="003660FB">
        <w:rPr>
          <w:rFonts w:ascii="Helvetica" w:eastAsia="Helvetica Neue" w:hAnsi="Helvetica" w:cs="Helvetica Neue"/>
          <w:color w:val="000000"/>
          <w:sz w:val="18"/>
          <w:szCs w:val="18"/>
        </w:rPr>
        <w:t xml:space="preserve">software </w:t>
      </w:r>
      <w:r w:rsidR="00876D1B" w:rsidRPr="005C4591">
        <w:rPr>
          <w:rFonts w:ascii="Helvetica" w:eastAsia="Helvetica Neue" w:hAnsi="Helvetica" w:cs="Helvetica Neue"/>
          <w:color w:val="000000"/>
          <w:sz w:val="18"/>
          <w:szCs w:val="18"/>
        </w:rPr>
        <w:t>estatístico SISVAR 5.6</w:t>
      </w:r>
      <w:r w:rsidR="00876D1B" w:rsidRPr="005C4591">
        <w:rPr>
          <w:rFonts w:ascii="Helvetica" w:eastAsia="Helvetica Neue" w:hAnsi="Helvetica" w:cs="Helvetica Neue"/>
          <w:color w:val="000000"/>
          <w:sz w:val="18"/>
          <w:szCs w:val="18"/>
          <w:vertAlign w:val="superscript"/>
        </w:rPr>
        <w:t>®</w:t>
      </w:r>
      <w:r w:rsidR="00876D1B" w:rsidRPr="005C4591">
        <w:rPr>
          <w:rFonts w:ascii="Helvetica" w:eastAsia="Helvetica Neue" w:hAnsi="Helvetica" w:cs="Helvetica Neue"/>
          <w:color w:val="000000"/>
          <w:sz w:val="18"/>
          <w:szCs w:val="18"/>
        </w:rPr>
        <w:t xml:space="preserve"> </w:t>
      </w:r>
      <w:r w:rsidRPr="005C4591">
        <w:rPr>
          <w:rFonts w:ascii="Helvetica" w:eastAsia="Helvetica Neue" w:hAnsi="Helvetica" w:cs="Helvetica Neue"/>
          <w:color w:val="000000"/>
          <w:sz w:val="18"/>
          <w:szCs w:val="18"/>
        </w:rPr>
        <w:t>(FERREIRA, 2011).</w:t>
      </w:r>
    </w:p>
    <w:p w14:paraId="396A0A16" w14:textId="4A935761" w:rsidR="00607916" w:rsidRPr="005C4591" w:rsidRDefault="00726ADD">
      <w:pPr>
        <w:widowControl w:val="0"/>
        <w:numPr>
          <w:ilvl w:val="0"/>
          <w:numId w:val="2"/>
        </w:numPr>
        <w:pBdr>
          <w:top w:val="nil"/>
          <w:left w:val="nil"/>
          <w:bottom w:val="nil"/>
          <w:right w:val="nil"/>
          <w:between w:val="nil"/>
        </w:pBdr>
        <w:spacing w:before="240" w:after="240"/>
        <w:ind w:left="436" w:right="141" w:hanging="294"/>
        <w:rPr>
          <w:rFonts w:ascii="Helvetica" w:eastAsia="Helvetica Neue" w:hAnsi="Helvetica" w:cs="Helvetica Neue"/>
          <w:color w:val="000000"/>
          <w:sz w:val="18"/>
          <w:szCs w:val="18"/>
        </w:rPr>
      </w:pPr>
      <w:r w:rsidRPr="005C4591">
        <w:rPr>
          <w:rFonts w:ascii="Helvetica" w:eastAsia="Helvetica Neue" w:hAnsi="Helvetica" w:cs="Helvetica Neue"/>
          <w:b/>
          <w:color w:val="000000"/>
          <w:sz w:val="18"/>
          <w:szCs w:val="18"/>
        </w:rPr>
        <w:lastRenderedPageBreak/>
        <w:t>Resultados e Discussão</w:t>
      </w:r>
    </w:p>
    <w:p w14:paraId="1136F47E" w14:textId="43C3F876" w:rsidR="000A22A0" w:rsidRPr="005C4591" w:rsidRDefault="00380E6B" w:rsidP="00173243">
      <w:pPr>
        <w:widowControl w:val="0"/>
        <w:spacing w:line="288" w:lineRule="auto"/>
        <w:ind w:left="141" w:right="141" w:firstLine="294"/>
        <w:jc w:val="both"/>
        <w:rPr>
          <w:rFonts w:ascii="Helvetica" w:eastAsia="Helvetica Neue" w:hAnsi="Helvetica" w:cs="Helvetica Neue"/>
          <w:color w:val="000000"/>
          <w:sz w:val="18"/>
          <w:szCs w:val="18"/>
        </w:rPr>
      </w:pPr>
      <w:r w:rsidRPr="005C4591">
        <w:rPr>
          <w:rFonts w:ascii="Helvetica" w:eastAsia="Helvetica Neue" w:hAnsi="Helvetica" w:cs="Helvetica Neue"/>
          <w:color w:val="000000"/>
          <w:sz w:val="18"/>
          <w:szCs w:val="18"/>
        </w:rPr>
        <w:t xml:space="preserve">A </w:t>
      </w:r>
      <w:r w:rsidR="00173243" w:rsidRPr="005C4591">
        <w:rPr>
          <w:rFonts w:ascii="Helvetica" w:eastAsia="Helvetica Neue" w:hAnsi="Helvetica" w:cs="Helvetica Neue"/>
          <w:color w:val="000000"/>
          <w:sz w:val="18"/>
          <w:szCs w:val="18"/>
        </w:rPr>
        <w:t>TCAA</w:t>
      </w:r>
      <w:r w:rsidRPr="005C4591">
        <w:rPr>
          <w:rFonts w:ascii="Helvetica" w:eastAsia="Helvetica Neue" w:hAnsi="Helvetica" w:cs="Helvetica Neue"/>
          <w:color w:val="000000"/>
          <w:sz w:val="18"/>
          <w:szCs w:val="18"/>
        </w:rPr>
        <w:t xml:space="preserve"> respondeu, de forma quadrática, aos diferentes percentuais avaliados, com valor máximo estimado de 0,16 cm dia</w:t>
      </w:r>
      <w:r w:rsidRPr="005C4591">
        <w:rPr>
          <w:rFonts w:ascii="Helvetica" w:eastAsia="Helvetica Neue" w:hAnsi="Helvetica" w:cs="Helvetica Neue"/>
          <w:color w:val="000000"/>
          <w:sz w:val="18"/>
          <w:szCs w:val="18"/>
          <w:vertAlign w:val="superscript"/>
        </w:rPr>
        <w:t>-1</w:t>
      </w:r>
      <w:r w:rsidRPr="005C4591">
        <w:rPr>
          <w:rFonts w:ascii="Helvetica" w:eastAsia="Helvetica Neue" w:hAnsi="Helvetica" w:cs="Helvetica Neue"/>
          <w:color w:val="000000"/>
          <w:sz w:val="18"/>
          <w:szCs w:val="18"/>
        </w:rPr>
        <w:t xml:space="preserve"> para a concentração de 27,06% do </w:t>
      </w:r>
      <w:r w:rsidR="00571927" w:rsidRPr="005C4591">
        <w:rPr>
          <w:rFonts w:ascii="Helvetica" w:eastAsia="Helvetica Neue" w:hAnsi="Helvetica" w:cs="Helvetica Neue"/>
          <w:color w:val="000000"/>
          <w:sz w:val="18"/>
          <w:szCs w:val="18"/>
        </w:rPr>
        <w:t>fino de carvão vegetal</w:t>
      </w:r>
      <w:r w:rsidRPr="005C4591">
        <w:rPr>
          <w:rFonts w:ascii="Helvetica" w:eastAsia="Helvetica Neue" w:hAnsi="Helvetica" w:cs="Helvetica Neue"/>
          <w:color w:val="000000"/>
          <w:sz w:val="18"/>
          <w:szCs w:val="18"/>
        </w:rPr>
        <w:t xml:space="preserve">, conforme se observa na Figura </w:t>
      </w:r>
      <w:r w:rsidR="00173243" w:rsidRPr="005C4591">
        <w:rPr>
          <w:rFonts w:ascii="Helvetica" w:eastAsia="Helvetica Neue" w:hAnsi="Helvetica" w:cs="Helvetica Neue"/>
          <w:color w:val="000000"/>
          <w:sz w:val="18"/>
          <w:szCs w:val="18"/>
        </w:rPr>
        <w:t>1</w:t>
      </w:r>
      <w:r w:rsidRPr="005C4591">
        <w:rPr>
          <w:rFonts w:ascii="Helvetica" w:eastAsia="Helvetica Neue" w:hAnsi="Helvetica" w:cs="Helvetica Neue"/>
          <w:color w:val="000000"/>
          <w:sz w:val="18"/>
          <w:szCs w:val="18"/>
        </w:rPr>
        <w:t>.</w:t>
      </w:r>
      <w:r w:rsidR="002A1339" w:rsidRPr="005C4591">
        <w:rPr>
          <w:rFonts w:ascii="Helvetica" w:eastAsia="Helvetica Neue" w:hAnsi="Helvetica" w:cs="Helvetica Neue"/>
          <w:color w:val="000000"/>
          <w:sz w:val="18"/>
          <w:szCs w:val="18"/>
        </w:rPr>
        <w:t xml:space="preserve"> </w:t>
      </w:r>
    </w:p>
    <w:p w14:paraId="53ADB694" w14:textId="4BB557B3" w:rsidR="00380E6B" w:rsidRPr="005C4591" w:rsidRDefault="00380E6B" w:rsidP="000A22A0">
      <w:pPr>
        <w:widowControl w:val="0"/>
        <w:spacing w:line="288" w:lineRule="auto"/>
        <w:ind w:left="141" w:right="141" w:firstLine="294"/>
        <w:jc w:val="center"/>
        <w:rPr>
          <w:rFonts w:ascii="Helvetica" w:eastAsia="Helvetica Neue" w:hAnsi="Helvetica" w:cs="Helvetica Neue"/>
          <w:sz w:val="18"/>
          <w:szCs w:val="18"/>
        </w:rPr>
      </w:pPr>
      <w:r w:rsidRPr="005C4591">
        <w:rPr>
          <w:rFonts w:ascii="Helvetica" w:eastAsia="Helvetica Neue" w:hAnsi="Helvetica" w:cs="Helvetica Neue"/>
          <w:noProof/>
          <w:sz w:val="18"/>
          <w:szCs w:val="18"/>
          <w:lang w:val="pt-BR"/>
        </w:rPr>
        <w:drawing>
          <wp:inline distT="0" distB="0" distL="0" distR="0" wp14:anchorId="2F4D46CD" wp14:editId="50D3B85B">
            <wp:extent cx="2474774" cy="1558456"/>
            <wp:effectExtent l="0" t="0" r="1905" b="381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91238" cy="1568824"/>
                    </a:xfrm>
                    <a:prstGeom prst="rect">
                      <a:avLst/>
                    </a:prstGeom>
                    <a:noFill/>
                  </pic:spPr>
                </pic:pic>
              </a:graphicData>
            </a:graphic>
          </wp:inline>
        </w:drawing>
      </w:r>
    </w:p>
    <w:p w14:paraId="044E4744" w14:textId="5E5DBAA8" w:rsidR="000A22A0" w:rsidRDefault="000A22A0" w:rsidP="000A22A0">
      <w:pPr>
        <w:widowControl w:val="0"/>
        <w:spacing w:line="288" w:lineRule="auto"/>
        <w:ind w:left="141" w:right="141" w:firstLine="294"/>
        <w:jc w:val="center"/>
        <w:rPr>
          <w:rFonts w:ascii="Helvetica" w:eastAsia="Helvetica Neue" w:hAnsi="Helvetica" w:cs="Helvetica Neue"/>
          <w:sz w:val="18"/>
          <w:szCs w:val="18"/>
        </w:rPr>
      </w:pPr>
      <w:r w:rsidRPr="005C4591">
        <w:rPr>
          <w:rFonts w:ascii="Helvetica" w:eastAsia="Helvetica Neue" w:hAnsi="Helvetica" w:cs="Helvetica Neue"/>
          <w:sz w:val="18"/>
          <w:szCs w:val="18"/>
        </w:rPr>
        <w:t xml:space="preserve"> Figura 1: </w:t>
      </w:r>
      <w:r w:rsidR="00380E6B" w:rsidRPr="005C4591">
        <w:rPr>
          <w:rFonts w:ascii="Helvetica" w:eastAsia="Helvetica Neue" w:hAnsi="Helvetica" w:cs="Helvetica Neue"/>
          <w:sz w:val="18"/>
          <w:szCs w:val="18"/>
        </w:rPr>
        <w:t>Taxa de crescimento absoluto em altura (TCAA) de mudas de maracujazeiro-amarelo em função de diferentes percentagens de carvão vegetal no substrato.</w:t>
      </w:r>
    </w:p>
    <w:p w14:paraId="4CCE9EF0" w14:textId="77777777" w:rsidR="0003515B" w:rsidRPr="005C4591" w:rsidRDefault="0003515B" w:rsidP="000A22A0">
      <w:pPr>
        <w:widowControl w:val="0"/>
        <w:spacing w:line="288" w:lineRule="auto"/>
        <w:ind w:left="141" w:right="141" w:firstLine="294"/>
        <w:jc w:val="center"/>
        <w:rPr>
          <w:rFonts w:ascii="Helvetica" w:eastAsia="Helvetica Neue" w:hAnsi="Helvetica" w:cs="Helvetica Neue"/>
          <w:sz w:val="18"/>
          <w:szCs w:val="18"/>
        </w:rPr>
      </w:pPr>
    </w:p>
    <w:p w14:paraId="18E7CD3B" w14:textId="664594D7" w:rsidR="00E7618F" w:rsidRPr="005C4591" w:rsidRDefault="002A1339" w:rsidP="002A1339">
      <w:pPr>
        <w:widowControl w:val="0"/>
        <w:spacing w:line="288" w:lineRule="auto"/>
        <w:ind w:right="141" w:firstLine="567"/>
        <w:jc w:val="both"/>
        <w:rPr>
          <w:rFonts w:ascii="Helvetica" w:eastAsia="Helvetica Neue" w:hAnsi="Helvetica" w:cs="Helvetica Neue"/>
          <w:sz w:val="18"/>
          <w:szCs w:val="18"/>
        </w:rPr>
      </w:pPr>
      <w:r w:rsidRPr="005C4591">
        <w:rPr>
          <w:rFonts w:ascii="Helvetica" w:eastAsia="Helvetica Neue" w:hAnsi="Helvetica" w:cs="Helvetica Neue"/>
          <w:sz w:val="18"/>
          <w:szCs w:val="18"/>
        </w:rPr>
        <w:t>Para estes resultados</w:t>
      </w:r>
      <w:r w:rsidR="00E7618F" w:rsidRPr="005C4591">
        <w:rPr>
          <w:rFonts w:ascii="Helvetica" w:eastAsia="Helvetica Neue" w:hAnsi="Helvetica" w:cs="Helvetica Neue"/>
          <w:sz w:val="18"/>
          <w:szCs w:val="18"/>
        </w:rPr>
        <w:t xml:space="preserve"> é bem provável que o baixo conteúdo de nutrientes no insumo orgânico tenha limitado o cresciment</w:t>
      </w:r>
      <w:r w:rsidRPr="005C4591">
        <w:rPr>
          <w:rFonts w:ascii="Helvetica" w:eastAsia="Helvetica Neue" w:hAnsi="Helvetica" w:cs="Helvetica Neue"/>
          <w:sz w:val="18"/>
          <w:szCs w:val="18"/>
        </w:rPr>
        <w:t xml:space="preserve">o inicial da espécie cultivada. </w:t>
      </w:r>
      <w:r w:rsidR="00E7618F" w:rsidRPr="005C4591">
        <w:rPr>
          <w:rFonts w:ascii="Helvetica" w:eastAsia="Helvetica Neue" w:hAnsi="Helvetica" w:cs="Helvetica Neue"/>
          <w:sz w:val="18"/>
          <w:szCs w:val="18"/>
        </w:rPr>
        <w:t>Conforme Rawat</w:t>
      </w:r>
      <w:r w:rsidR="0021678E">
        <w:rPr>
          <w:rFonts w:ascii="Helvetica" w:eastAsia="Helvetica Neue" w:hAnsi="Helvetica" w:cs="Helvetica Neue"/>
          <w:sz w:val="18"/>
          <w:szCs w:val="18"/>
        </w:rPr>
        <w:t>;</w:t>
      </w:r>
      <w:r w:rsidR="0021678E">
        <w:rPr>
          <w:rFonts w:ascii="Helvetica" w:eastAsia="Helvetica Neue" w:hAnsi="Helvetica" w:cs="Helvetica Neue"/>
          <w:sz w:val="18"/>
          <w:szCs w:val="18"/>
          <w:lang w:val="pt-BR"/>
        </w:rPr>
        <w:t xml:space="preserve"> </w:t>
      </w:r>
      <w:proofErr w:type="spellStart"/>
      <w:r w:rsidR="0021678E">
        <w:rPr>
          <w:rFonts w:ascii="Helvetica" w:eastAsia="Helvetica Neue" w:hAnsi="Helvetica" w:cs="Helvetica Neue"/>
          <w:sz w:val="18"/>
          <w:szCs w:val="18"/>
          <w:lang w:val="pt-BR"/>
        </w:rPr>
        <w:t>Saxena</w:t>
      </w:r>
      <w:proofErr w:type="spellEnd"/>
      <w:r w:rsidR="0021678E">
        <w:rPr>
          <w:rFonts w:ascii="Helvetica" w:eastAsia="Helvetica Neue" w:hAnsi="Helvetica" w:cs="Helvetica Neue"/>
          <w:sz w:val="18"/>
          <w:szCs w:val="18"/>
          <w:lang w:val="pt-BR"/>
        </w:rPr>
        <w:t xml:space="preserve"> e </w:t>
      </w:r>
      <w:proofErr w:type="spellStart"/>
      <w:r w:rsidR="0021678E">
        <w:rPr>
          <w:rFonts w:ascii="Helvetica" w:eastAsia="Helvetica Neue" w:hAnsi="Helvetica" w:cs="Helvetica Neue"/>
          <w:sz w:val="18"/>
          <w:szCs w:val="18"/>
          <w:lang w:val="pt-BR"/>
        </w:rPr>
        <w:t>Sanwal</w:t>
      </w:r>
      <w:proofErr w:type="spellEnd"/>
      <w:r w:rsidR="00E7618F" w:rsidRPr="005C4591">
        <w:rPr>
          <w:rFonts w:ascii="Helvetica" w:eastAsia="Helvetica Neue" w:hAnsi="Helvetica" w:cs="Helvetica Neue"/>
          <w:sz w:val="18"/>
          <w:szCs w:val="18"/>
        </w:rPr>
        <w:t xml:space="preserve"> (2018), quando adicionados ao solo, através de fontes externas, os elementos minerais são convertidos a formas solúveis, as quais são posteriormente absorvidas pelas plantas. Porém, destes, apenas uma pequena parcela é aproveitada pelas espécies, enquanto a outra parte é perdida por percolação ou transformada em formas insolúveis, as quais, não são absorvidas pelas plantas.</w:t>
      </w:r>
    </w:p>
    <w:p w14:paraId="4B0ADD94" w14:textId="7AE35985" w:rsidR="00C25662" w:rsidRPr="005C4591" w:rsidRDefault="00380E6B" w:rsidP="00C25662">
      <w:pPr>
        <w:widowControl w:val="0"/>
        <w:spacing w:line="288" w:lineRule="auto"/>
        <w:ind w:right="141" w:firstLine="567"/>
        <w:rPr>
          <w:rFonts w:ascii="Helvetica" w:eastAsia="Helvetica Neue" w:hAnsi="Helvetica" w:cs="Helvetica Neue"/>
          <w:sz w:val="18"/>
          <w:szCs w:val="18"/>
        </w:rPr>
      </w:pPr>
      <w:r w:rsidRPr="005C4591">
        <w:rPr>
          <w:rFonts w:ascii="Helvetica" w:eastAsia="Helvetica Neue" w:hAnsi="Helvetica" w:cs="Helvetica Neue"/>
          <w:sz w:val="18"/>
          <w:szCs w:val="18"/>
        </w:rPr>
        <w:t xml:space="preserve">A </w:t>
      </w:r>
      <w:r w:rsidR="00173243" w:rsidRPr="005C4591">
        <w:rPr>
          <w:rFonts w:ascii="Helvetica" w:eastAsia="Helvetica Neue" w:hAnsi="Helvetica" w:cs="Helvetica Neue"/>
          <w:sz w:val="18"/>
          <w:szCs w:val="18"/>
        </w:rPr>
        <w:t>TCADC</w:t>
      </w:r>
      <w:r w:rsidRPr="005C4591">
        <w:rPr>
          <w:rFonts w:ascii="Helvetica" w:eastAsia="Helvetica Neue" w:hAnsi="Helvetica" w:cs="Helvetica Neue"/>
          <w:sz w:val="18"/>
          <w:szCs w:val="18"/>
        </w:rPr>
        <w:t xml:space="preserve"> (Figura </w:t>
      </w:r>
      <w:r w:rsidR="00173243" w:rsidRPr="005C4591">
        <w:rPr>
          <w:rFonts w:ascii="Helvetica" w:eastAsia="Helvetica Neue" w:hAnsi="Helvetica" w:cs="Helvetica Neue"/>
          <w:sz w:val="18"/>
          <w:szCs w:val="18"/>
        </w:rPr>
        <w:t>2</w:t>
      </w:r>
      <w:r w:rsidRPr="005C4591">
        <w:rPr>
          <w:rFonts w:ascii="Helvetica" w:eastAsia="Helvetica Neue" w:hAnsi="Helvetica" w:cs="Helvetica Neue"/>
          <w:sz w:val="18"/>
          <w:szCs w:val="18"/>
        </w:rPr>
        <w:t>) atingiu valores médios inferiores a 0,022 mm dia</w:t>
      </w:r>
      <w:r w:rsidRPr="005C4591">
        <w:rPr>
          <w:rFonts w:ascii="Helvetica" w:eastAsia="Helvetica Neue" w:hAnsi="Helvetica" w:cs="Helvetica Neue"/>
          <w:sz w:val="18"/>
          <w:szCs w:val="18"/>
          <w:vertAlign w:val="superscript"/>
        </w:rPr>
        <w:t>-1</w:t>
      </w:r>
      <w:r w:rsidRPr="005C4591">
        <w:rPr>
          <w:rFonts w:ascii="Helvetica" w:eastAsia="Helvetica Neue" w:hAnsi="Helvetica" w:cs="Helvetica Neue"/>
          <w:sz w:val="18"/>
          <w:szCs w:val="18"/>
        </w:rPr>
        <w:t xml:space="preserve"> a partir da proporção de 50,0% de carvão vegetal no substrato. O maior valor estimado foi de 0,026 mm dia</w:t>
      </w:r>
      <w:r w:rsidRPr="005C4591">
        <w:rPr>
          <w:rFonts w:ascii="Helvetica" w:eastAsia="Helvetica Neue" w:hAnsi="Helvetica" w:cs="Helvetica Neue"/>
          <w:sz w:val="18"/>
          <w:szCs w:val="18"/>
          <w:vertAlign w:val="superscript"/>
        </w:rPr>
        <w:t>-1</w:t>
      </w:r>
      <w:r w:rsidRPr="005C4591">
        <w:rPr>
          <w:rFonts w:ascii="Helvetica" w:eastAsia="Helvetica Neue" w:hAnsi="Helvetica" w:cs="Helvetica Neue"/>
          <w:sz w:val="18"/>
          <w:szCs w:val="18"/>
        </w:rPr>
        <w:t>, observado nos tratamentos contendo 6,7% de carvão vegetal.</w:t>
      </w:r>
      <w:r w:rsidR="00C25662" w:rsidRPr="005C4591">
        <w:rPr>
          <w:rFonts w:ascii="Helvetica" w:eastAsia="Arial MT" w:hAnsi="Helvetica" w:cs="Arial MT"/>
          <w:b/>
          <w:sz w:val="20"/>
          <w:szCs w:val="20"/>
          <w:lang w:eastAsia="en-US"/>
        </w:rPr>
        <w:t xml:space="preserve"> </w:t>
      </w:r>
      <w:r w:rsidR="00C25662" w:rsidRPr="005C4591">
        <w:rPr>
          <w:rFonts w:ascii="Helvetica" w:eastAsia="Helvetica Neue" w:hAnsi="Helvetica" w:cs="Helvetica Neue"/>
          <w:sz w:val="18"/>
          <w:szCs w:val="18"/>
        </w:rPr>
        <w:t xml:space="preserve">Na literatura, autores como Zoghi </w:t>
      </w:r>
      <w:r w:rsidR="00C25662" w:rsidRPr="005235B5">
        <w:rPr>
          <w:rFonts w:ascii="Helvetica" w:eastAsia="Helvetica Neue" w:hAnsi="Helvetica" w:cs="Helvetica Neue"/>
          <w:i/>
          <w:sz w:val="18"/>
          <w:szCs w:val="18"/>
        </w:rPr>
        <w:t>et al.</w:t>
      </w:r>
      <w:r w:rsidR="00C25662" w:rsidRPr="005C4591">
        <w:rPr>
          <w:rFonts w:ascii="Helvetica" w:eastAsia="Helvetica Neue" w:hAnsi="Helvetica" w:cs="Helvetica Neue"/>
          <w:sz w:val="18"/>
          <w:szCs w:val="18"/>
        </w:rPr>
        <w:t xml:space="preserve"> (2019) também encontraram respostas significativas e positivas para a variável diâmetro caulinar de mudas de </w:t>
      </w:r>
      <w:r w:rsidR="00C25662" w:rsidRPr="005C4591">
        <w:rPr>
          <w:rFonts w:ascii="Helvetica" w:eastAsia="Helvetica Neue" w:hAnsi="Helvetica" w:cs="Helvetica Neue"/>
          <w:i/>
          <w:sz w:val="18"/>
          <w:szCs w:val="18"/>
        </w:rPr>
        <w:t xml:space="preserve">Quercus castaneifolia </w:t>
      </w:r>
      <w:r w:rsidR="00C25662" w:rsidRPr="005C4591">
        <w:rPr>
          <w:rFonts w:ascii="Helvetica" w:eastAsia="Helvetica Neue" w:hAnsi="Helvetica" w:cs="Helvetica Neue"/>
          <w:sz w:val="18"/>
          <w:szCs w:val="18"/>
        </w:rPr>
        <w:t>CAM sobre uso de biocarvão no substrato.</w:t>
      </w:r>
    </w:p>
    <w:p w14:paraId="6E37B538" w14:textId="68AB9108" w:rsidR="00380E6B" w:rsidRPr="005C4591" w:rsidRDefault="00380E6B" w:rsidP="00380E6B">
      <w:pPr>
        <w:widowControl w:val="0"/>
        <w:spacing w:line="288" w:lineRule="auto"/>
        <w:ind w:right="141" w:firstLine="567"/>
        <w:jc w:val="both"/>
        <w:rPr>
          <w:rFonts w:ascii="Helvetica" w:eastAsia="Helvetica Neue" w:hAnsi="Helvetica" w:cs="Helvetica Neue"/>
          <w:sz w:val="18"/>
          <w:szCs w:val="18"/>
        </w:rPr>
      </w:pPr>
    </w:p>
    <w:p w14:paraId="3CB71E07" w14:textId="355BB06F" w:rsidR="000A22A0" w:rsidRPr="005C4591" w:rsidRDefault="00380E6B" w:rsidP="000A22A0">
      <w:pPr>
        <w:widowControl w:val="0"/>
        <w:spacing w:line="288" w:lineRule="auto"/>
        <w:ind w:right="141" w:firstLine="567"/>
        <w:jc w:val="center"/>
        <w:rPr>
          <w:rFonts w:ascii="Helvetica" w:eastAsia="Helvetica Neue" w:hAnsi="Helvetica" w:cs="Helvetica Neue"/>
          <w:sz w:val="18"/>
          <w:szCs w:val="18"/>
        </w:rPr>
      </w:pPr>
      <w:r w:rsidRPr="005C4591">
        <w:rPr>
          <w:rFonts w:ascii="Helvetica" w:eastAsia="Helvetica Neue" w:hAnsi="Helvetica" w:cs="Helvetica Neue"/>
          <w:noProof/>
          <w:sz w:val="18"/>
          <w:szCs w:val="18"/>
          <w:lang w:val="pt-BR"/>
        </w:rPr>
        <w:drawing>
          <wp:inline distT="0" distB="0" distL="0" distR="0" wp14:anchorId="15285ED1" wp14:editId="408E5D3F">
            <wp:extent cx="2480669" cy="1529711"/>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02084" cy="1542916"/>
                    </a:xfrm>
                    <a:prstGeom prst="rect">
                      <a:avLst/>
                    </a:prstGeom>
                    <a:noFill/>
                  </pic:spPr>
                </pic:pic>
              </a:graphicData>
            </a:graphic>
          </wp:inline>
        </w:drawing>
      </w:r>
    </w:p>
    <w:p w14:paraId="6345CA7B" w14:textId="468A8214" w:rsidR="00BA6A3E" w:rsidRDefault="000A22A0" w:rsidP="00C25662">
      <w:pPr>
        <w:widowControl w:val="0"/>
        <w:spacing w:line="288" w:lineRule="auto"/>
        <w:ind w:left="141" w:right="141" w:firstLine="294"/>
        <w:jc w:val="center"/>
        <w:rPr>
          <w:rFonts w:ascii="Helvetica" w:eastAsia="Helvetica Neue" w:hAnsi="Helvetica" w:cs="Helvetica Neue"/>
          <w:sz w:val="18"/>
          <w:szCs w:val="18"/>
        </w:rPr>
      </w:pPr>
      <w:r w:rsidRPr="005C4591">
        <w:rPr>
          <w:rFonts w:ascii="Helvetica" w:eastAsia="Helvetica Neue" w:hAnsi="Helvetica" w:cs="Helvetica Neue"/>
          <w:sz w:val="18"/>
          <w:szCs w:val="18"/>
        </w:rPr>
        <w:t xml:space="preserve">Figura 2: </w:t>
      </w:r>
      <w:r w:rsidR="00380E6B" w:rsidRPr="005C4591">
        <w:rPr>
          <w:rFonts w:ascii="Helvetica" w:eastAsia="Helvetica Neue" w:hAnsi="Helvetica" w:cs="Helvetica Neue"/>
          <w:sz w:val="18"/>
          <w:szCs w:val="18"/>
        </w:rPr>
        <w:t xml:space="preserve">Taxa de crescimento absoluto em diâmetro caulinar (TCADC) de mudas de </w:t>
      </w:r>
      <w:r w:rsidR="0021678E">
        <w:rPr>
          <w:rFonts w:ascii="Helvetica" w:eastAsia="Helvetica Neue" w:hAnsi="Helvetica" w:cs="Helvetica Neue"/>
          <w:sz w:val="18"/>
          <w:szCs w:val="18"/>
        </w:rPr>
        <w:t>maracujazeiro-</w:t>
      </w:r>
      <w:r w:rsidR="00380E6B" w:rsidRPr="005C4591">
        <w:rPr>
          <w:rFonts w:ascii="Helvetica" w:eastAsia="Helvetica Neue" w:hAnsi="Helvetica" w:cs="Helvetica Neue"/>
          <w:sz w:val="18"/>
          <w:szCs w:val="18"/>
        </w:rPr>
        <w:t>amarelo em função de diferentes percentagens de carvão vegetal no substrato.</w:t>
      </w:r>
    </w:p>
    <w:p w14:paraId="788FB81B" w14:textId="77777777" w:rsidR="0003515B" w:rsidRPr="005C4591" w:rsidRDefault="0003515B" w:rsidP="00C25662">
      <w:pPr>
        <w:widowControl w:val="0"/>
        <w:spacing w:line="288" w:lineRule="auto"/>
        <w:ind w:left="141" w:right="141" w:firstLine="294"/>
        <w:jc w:val="center"/>
        <w:rPr>
          <w:rFonts w:ascii="Helvetica" w:eastAsia="Helvetica Neue" w:hAnsi="Helvetica" w:cs="Helvetica Neue"/>
          <w:sz w:val="18"/>
          <w:szCs w:val="18"/>
        </w:rPr>
      </w:pPr>
    </w:p>
    <w:p w14:paraId="59AE055D" w14:textId="34AC89EF" w:rsidR="00981509" w:rsidRPr="005C4591" w:rsidRDefault="00981509" w:rsidP="00981509">
      <w:pPr>
        <w:widowControl w:val="0"/>
        <w:spacing w:line="288" w:lineRule="auto"/>
        <w:ind w:left="141" w:right="141" w:firstLine="294"/>
        <w:jc w:val="both"/>
        <w:rPr>
          <w:rFonts w:ascii="Helvetica" w:eastAsia="Helvetica Neue" w:hAnsi="Helvetica" w:cs="Helvetica Neue"/>
          <w:sz w:val="18"/>
          <w:szCs w:val="18"/>
        </w:rPr>
      </w:pPr>
      <w:r w:rsidRPr="005C4591">
        <w:rPr>
          <w:rFonts w:ascii="Helvetica" w:eastAsia="Helvetica Neue" w:hAnsi="Helvetica" w:cs="Helvetica Neue"/>
          <w:sz w:val="18"/>
          <w:szCs w:val="18"/>
        </w:rPr>
        <w:t>O número de folhas das mudas de maracujazeiro-amarelo foi afetado estatisticamente, de forma quadrática, pelo percentual de carvão vegetal no substrato, com valores médios estimados de 8,1 (0,0%), 8,5 (25,0%), 8,0 (50,0%), 6,4 (75,0%) e 3,9 (100,0%), com decréscimo de 51,9% no número de folhas entre as mudas da testemunha e as produzidas com uso somente do</w:t>
      </w:r>
      <w:r w:rsidR="00571927" w:rsidRPr="005C4591">
        <w:rPr>
          <w:rFonts w:ascii="Helvetica" w:eastAsia="Helvetica Neue" w:hAnsi="Helvetica" w:cs="Helvetica Neue"/>
          <w:sz w:val="18"/>
          <w:szCs w:val="18"/>
        </w:rPr>
        <w:t xml:space="preserve"> biocarvão</w:t>
      </w:r>
      <w:r w:rsidR="003660FB">
        <w:rPr>
          <w:rFonts w:ascii="Helvetica" w:eastAsia="Helvetica Neue" w:hAnsi="Helvetica" w:cs="Helvetica Neue"/>
          <w:sz w:val="18"/>
          <w:szCs w:val="18"/>
        </w:rPr>
        <w:t xml:space="preserve"> (Figura 3)</w:t>
      </w:r>
      <w:r w:rsidRPr="005C4591">
        <w:rPr>
          <w:rFonts w:ascii="Helvetica" w:eastAsia="Helvetica Neue" w:hAnsi="Helvetica" w:cs="Helvetica Neue"/>
          <w:sz w:val="18"/>
          <w:szCs w:val="18"/>
        </w:rPr>
        <w:t>.</w:t>
      </w:r>
    </w:p>
    <w:p w14:paraId="47D3FDC5" w14:textId="68B71A53" w:rsidR="000A22A0" w:rsidRPr="005C4591" w:rsidRDefault="00981509" w:rsidP="000A22A0">
      <w:pPr>
        <w:widowControl w:val="0"/>
        <w:spacing w:line="288" w:lineRule="auto"/>
        <w:ind w:left="141" w:right="141" w:firstLine="294"/>
        <w:jc w:val="center"/>
        <w:rPr>
          <w:rFonts w:ascii="Helvetica" w:eastAsia="Helvetica Neue" w:hAnsi="Helvetica" w:cs="Helvetica Neue"/>
          <w:sz w:val="18"/>
          <w:szCs w:val="18"/>
        </w:rPr>
      </w:pPr>
      <w:r w:rsidRPr="005C4591">
        <w:rPr>
          <w:rFonts w:ascii="Helvetica" w:eastAsia="Helvetica Neue" w:hAnsi="Helvetica" w:cs="Helvetica Neue"/>
          <w:noProof/>
          <w:sz w:val="18"/>
          <w:szCs w:val="18"/>
          <w:lang w:val="pt-BR"/>
        </w:rPr>
        <w:drawing>
          <wp:inline distT="0" distB="0" distL="0" distR="0" wp14:anchorId="7E845F99" wp14:editId="3954ACF2">
            <wp:extent cx="2474485" cy="1415415"/>
            <wp:effectExtent l="0" t="0" r="254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83394" cy="1420511"/>
                    </a:xfrm>
                    <a:prstGeom prst="rect">
                      <a:avLst/>
                    </a:prstGeom>
                    <a:noFill/>
                  </pic:spPr>
                </pic:pic>
              </a:graphicData>
            </a:graphic>
          </wp:inline>
        </w:drawing>
      </w:r>
    </w:p>
    <w:p w14:paraId="0223C4B3" w14:textId="71B24384" w:rsidR="000A22A0" w:rsidRPr="005C4591" w:rsidRDefault="003660FB" w:rsidP="00981509">
      <w:pPr>
        <w:widowControl w:val="0"/>
        <w:spacing w:line="288" w:lineRule="auto"/>
        <w:ind w:left="141" w:right="141" w:firstLine="294"/>
        <w:jc w:val="center"/>
        <w:rPr>
          <w:rFonts w:ascii="Helvetica" w:eastAsia="Helvetica Neue" w:hAnsi="Helvetica" w:cs="Helvetica Neue"/>
          <w:sz w:val="18"/>
          <w:szCs w:val="18"/>
        </w:rPr>
      </w:pPr>
      <w:r>
        <w:rPr>
          <w:rFonts w:ascii="Helvetica" w:eastAsia="Helvetica Neue" w:hAnsi="Helvetica" w:cs="Helvetica Neue"/>
          <w:sz w:val="18"/>
          <w:szCs w:val="18"/>
        </w:rPr>
        <w:t>Figura 3</w:t>
      </w:r>
      <w:r w:rsidR="000A22A0" w:rsidRPr="005C4591">
        <w:rPr>
          <w:rFonts w:ascii="Helvetica" w:eastAsia="Helvetica Neue" w:hAnsi="Helvetica" w:cs="Helvetica Neue"/>
          <w:sz w:val="18"/>
          <w:szCs w:val="18"/>
        </w:rPr>
        <w:t xml:space="preserve">: </w:t>
      </w:r>
      <w:r w:rsidR="00981509" w:rsidRPr="005C4591">
        <w:rPr>
          <w:rFonts w:ascii="Helvetica" w:eastAsia="Helvetica Neue" w:hAnsi="Helvetica" w:cs="Helvetica Neue"/>
          <w:sz w:val="18"/>
          <w:szCs w:val="18"/>
        </w:rPr>
        <w:t>Número de folhas de mudas de maracujazeiro-amarelo produzidas em substratos com biocarvão.</w:t>
      </w:r>
    </w:p>
    <w:p w14:paraId="00C4FAB9" w14:textId="77777777" w:rsidR="0003515B" w:rsidRDefault="0003515B" w:rsidP="001D725C">
      <w:pPr>
        <w:widowControl w:val="0"/>
        <w:spacing w:line="288" w:lineRule="auto"/>
        <w:ind w:left="141" w:right="142" w:firstLine="294"/>
        <w:jc w:val="both"/>
        <w:rPr>
          <w:rFonts w:ascii="Helvetica" w:eastAsia="Helvetica Neue" w:hAnsi="Helvetica" w:cs="Helvetica Neue"/>
          <w:sz w:val="18"/>
          <w:szCs w:val="18"/>
        </w:rPr>
      </w:pPr>
    </w:p>
    <w:p w14:paraId="54BBBA61" w14:textId="3C96D061" w:rsidR="001D725C" w:rsidRPr="005C4591" w:rsidRDefault="001D725C" w:rsidP="001D725C">
      <w:pPr>
        <w:widowControl w:val="0"/>
        <w:spacing w:line="288" w:lineRule="auto"/>
        <w:ind w:left="141" w:right="142" w:firstLine="294"/>
        <w:jc w:val="both"/>
        <w:rPr>
          <w:rFonts w:ascii="Helvetica" w:eastAsia="Helvetica Neue" w:hAnsi="Helvetica" w:cs="Helvetica Neue"/>
          <w:sz w:val="18"/>
          <w:szCs w:val="18"/>
        </w:rPr>
      </w:pPr>
      <w:r w:rsidRPr="005C4591">
        <w:rPr>
          <w:rFonts w:ascii="Helvetica" w:eastAsia="Helvetica Neue" w:hAnsi="Helvetica" w:cs="Helvetica Neue"/>
          <w:sz w:val="18"/>
          <w:szCs w:val="18"/>
        </w:rPr>
        <w:lastRenderedPageBreak/>
        <w:t>O maior número de folhas observado com uso de 23,0% de biocarvão na composição do substrato, possivelmente decorra dos mesmos efeitos positivos observados após o uso de substâncias húmicas, em razão da redução do dispêndio de energia da planta, com o carreamento de mais nutrientes para o crescimento foliar das mudas de maracujazeiro-amarelo, conforme ob</w:t>
      </w:r>
      <w:r w:rsidR="0037538F" w:rsidRPr="005C4591">
        <w:rPr>
          <w:rFonts w:ascii="Helvetica" w:eastAsia="Helvetica Neue" w:hAnsi="Helvetica" w:cs="Helvetica Neue"/>
          <w:sz w:val="18"/>
          <w:szCs w:val="18"/>
        </w:rPr>
        <w:t xml:space="preserve">servado por Petter </w:t>
      </w:r>
      <w:r w:rsidR="0037538F" w:rsidRPr="005235B5">
        <w:rPr>
          <w:rFonts w:ascii="Helvetica" w:eastAsia="Helvetica Neue" w:hAnsi="Helvetica" w:cs="Helvetica Neue"/>
          <w:i/>
          <w:sz w:val="18"/>
          <w:szCs w:val="18"/>
        </w:rPr>
        <w:t>et al.</w:t>
      </w:r>
      <w:r w:rsidR="0037538F" w:rsidRPr="005C4591">
        <w:rPr>
          <w:rFonts w:ascii="Helvetica" w:eastAsia="Helvetica Neue" w:hAnsi="Helvetica" w:cs="Helvetica Neue"/>
          <w:sz w:val="18"/>
          <w:szCs w:val="18"/>
        </w:rPr>
        <w:t xml:space="preserve"> (2012</w:t>
      </w:r>
      <w:r w:rsidRPr="005C4591">
        <w:rPr>
          <w:rFonts w:ascii="Helvetica" w:eastAsia="Helvetica Neue" w:hAnsi="Helvetica" w:cs="Helvetica Neue"/>
          <w:sz w:val="18"/>
          <w:szCs w:val="18"/>
        </w:rPr>
        <w:t>) em mudas de alfaces com uso de até 60,0% de carvão vegetal no substrato.</w:t>
      </w:r>
    </w:p>
    <w:p w14:paraId="67CD372D" w14:textId="2BF110EE" w:rsidR="00C25662" w:rsidRPr="005C4591" w:rsidRDefault="00981509" w:rsidP="00C25662">
      <w:pPr>
        <w:widowControl w:val="0"/>
        <w:spacing w:line="288" w:lineRule="auto"/>
        <w:ind w:left="141" w:right="142" w:firstLine="294"/>
        <w:jc w:val="both"/>
        <w:rPr>
          <w:rFonts w:ascii="Helvetica" w:eastAsia="Helvetica Neue" w:hAnsi="Helvetica" w:cs="Helvetica Neue"/>
          <w:sz w:val="18"/>
          <w:szCs w:val="18"/>
        </w:rPr>
      </w:pPr>
      <w:r w:rsidRPr="005C4591">
        <w:rPr>
          <w:rFonts w:ascii="Helvetica" w:eastAsia="Helvetica Neue" w:hAnsi="Helvetica" w:cs="Helvetica Neue"/>
          <w:sz w:val="18"/>
          <w:szCs w:val="18"/>
        </w:rPr>
        <w:t>A área foliar das mudas de maracujazeiro-amarelo, da mesma forma que o número de folhas, sofreu influência quadrática da elevação do percentual de carvão vegetal, de 0,0% até 100,0%, na composição do substrato. Os valores médios estimados decresceram de 303,3 cm</w:t>
      </w:r>
      <w:r w:rsidRPr="005C4591">
        <w:rPr>
          <w:rFonts w:ascii="Helvetica" w:eastAsia="Helvetica Neue" w:hAnsi="Helvetica" w:cs="Helvetica Neue"/>
          <w:sz w:val="18"/>
          <w:szCs w:val="18"/>
          <w:vertAlign w:val="superscript"/>
        </w:rPr>
        <w:t>2</w:t>
      </w:r>
      <w:r w:rsidRPr="005C4591">
        <w:rPr>
          <w:rFonts w:ascii="Helvetica" w:eastAsia="Helvetica Neue" w:hAnsi="Helvetica" w:cs="Helvetica Neue"/>
          <w:sz w:val="18"/>
          <w:szCs w:val="18"/>
        </w:rPr>
        <w:t xml:space="preserve"> planta</w:t>
      </w:r>
      <w:r w:rsidRPr="005C4591">
        <w:rPr>
          <w:rFonts w:ascii="Helvetica" w:eastAsia="Helvetica Neue" w:hAnsi="Helvetica" w:cs="Helvetica Neue"/>
          <w:sz w:val="18"/>
          <w:szCs w:val="18"/>
          <w:vertAlign w:val="superscript"/>
        </w:rPr>
        <w:t>-1</w:t>
      </w:r>
      <w:r w:rsidRPr="005C4591">
        <w:rPr>
          <w:rFonts w:ascii="Helvetica" w:eastAsia="Helvetica Neue" w:hAnsi="Helvetica" w:cs="Helvetica Neue"/>
          <w:sz w:val="18"/>
          <w:szCs w:val="18"/>
        </w:rPr>
        <w:t xml:space="preserve"> a 23,7 cm</w:t>
      </w:r>
      <w:r w:rsidRPr="005C4591">
        <w:rPr>
          <w:rFonts w:ascii="Helvetica" w:eastAsia="Helvetica Neue" w:hAnsi="Helvetica" w:cs="Helvetica Neue"/>
          <w:sz w:val="18"/>
          <w:szCs w:val="18"/>
          <w:vertAlign w:val="superscript"/>
        </w:rPr>
        <w:t>2</w:t>
      </w:r>
      <w:r w:rsidRPr="005C4591">
        <w:rPr>
          <w:rFonts w:ascii="Helvetica" w:eastAsia="Helvetica Neue" w:hAnsi="Helvetica" w:cs="Helvetica Neue"/>
          <w:sz w:val="18"/>
          <w:szCs w:val="18"/>
        </w:rPr>
        <w:t xml:space="preserve"> planta</w:t>
      </w:r>
      <w:r w:rsidRPr="005C4591">
        <w:rPr>
          <w:rFonts w:ascii="Helvetica" w:eastAsia="Helvetica Neue" w:hAnsi="Helvetica" w:cs="Helvetica Neue"/>
          <w:sz w:val="18"/>
          <w:szCs w:val="18"/>
          <w:vertAlign w:val="superscript"/>
        </w:rPr>
        <w:t>1</w:t>
      </w:r>
      <w:r w:rsidRPr="005C4591">
        <w:rPr>
          <w:rFonts w:ascii="Helvetica" w:eastAsia="Helvetica Neue" w:hAnsi="Helvetica" w:cs="Helvetica Neue"/>
          <w:sz w:val="18"/>
          <w:szCs w:val="18"/>
        </w:rPr>
        <w:t>, com o aumento de carvão vegetal no substrato de 0,0% a 100</w:t>
      </w:r>
      <w:r w:rsidR="00C25662" w:rsidRPr="005C4591">
        <w:rPr>
          <w:rFonts w:ascii="Helvetica" w:eastAsia="Helvetica Neue" w:hAnsi="Helvetica" w:cs="Helvetica Neue"/>
          <w:sz w:val="18"/>
          <w:szCs w:val="18"/>
        </w:rPr>
        <w:t>,0%, respectivamente (Figura 5), concordando com os achados de Ichwani</w:t>
      </w:r>
      <w:r w:rsidR="00BB7C45" w:rsidRPr="005C4591">
        <w:rPr>
          <w:rFonts w:ascii="Helvetica" w:eastAsia="Helvetica Neue" w:hAnsi="Helvetica" w:cs="Helvetica Neue"/>
          <w:sz w:val="18"/>
          <w:szCs w:val="18"/>
        </w:rPr>
        <w:t>;</w:t>
      </w:r>
      <w:r w:rsidR="00C25662" w:rsidRPr="005C4591">
        <w:rPr>
          <w:rFonts w:ascii="Helvetica" w:eastAsia="Helvetica Neue" w:hAnsi="Helvetica" w:cs="Helvetica Neue"/>
          <w:sz w:val="18"/>
          <w:szCs w:val="18"/>
        </w:rPr>
        <w:t xml:space="preserve"> </w:t>
      </w:r>
      <w:proofErr w:type="spellStart"/>
      <w:r w:rsidR="0021678E">
        <w:rPr>
          <w:rFonts w:ascii="Helvetica" w:eastAsia="Helvetica Neue" w:hAnsi="Helvetica" w:cs="Helvetica Neue"/>
          <w:sz w:val="18"/>
          <w:szCs w:val="18"/>
          <w:lang w:val="pt-BR"/>
        </w:rPr>
        <w:t>Mapegau</w:t>
      </w:r>
      <w:proofErr w:type="spellEnd"/>
      <w:r w:rsidR="0021678E">
        <w:rPr>
          <w:rFonts w:ascii="Helvetica" w:eastAsia="Helvetica Neue" w:hAnsi="Helvetica" w:cs="Helvetica Neue"/>
          <w:sz w:val="18"/>
          <w:szCs w:val="18"/>
          <w:lang w:val="pt-BR"/>
        </w:rPr>
        <w:t xml:space="preserve"> e</w:t>
      </w:r>
      <w:r w:rsidR="00BB7C45" w:rsidRPr="005C4591">
        <w:rPr>
          <w:rFonts w:ascii="Helvetica" w:eastAsia="Helvetica Neue" w:hAnsi="Helvetica" w:cs="Helvetica Neue"/>
          <w:sz w:val="18"/>
          <w:szCs w:val="18"/>
          <w:lang w:val="pt-BR"/>
        </w:rPr>
        <w:t xml:space="preserve"> </w:t>
      </w:r>
      <w:proofErr w:type="spellStart"/>
      <w:r w:rsidR="00BB7C45" w:rsidRPr="005C4591">
        <w:rPr>
          <w:rFonts w:ascii="Helvetica" w:eastAsia="Helvetica Neue" w:hAnsi="Helvetica" w:cs="Helvetica Neue"/>
          <w:sz w:val="18"/>
          <w:szCs w:val="18"/>
          <w:lang w:val="pt-BR"/>
        </w:rPr>
        <w:t>Marlin</w:t>
      </w:r>
      <w:proofErr w:type="spellEnd"/>
      <w:r w:rsidR="0021678E">
        <w:rPr>
          <w:rFonts w:ascii="Helvetica" w:eastAsia="Helvetica Neue" w:hAnsi="Helvetica" w:cs="Helvetica Neue"/>
          <w:sz w:val="18"/>
          <w:szCs w:val="18"/>
        </w:rPr>
        <w:t>a</w:t>
      </w:r>
      <w:r w:rsidR="00C25662" w:rsidRPr="005C4591">
        <w:rPr>
          <w:rFonts w:ascii="Helvetica" w:eastAsia="Helvetica Neue" w:hAnsi="Helvetica" w:cs="Helvetica Neue"/>
          <w:sz w:val="18"/>
          <w:szCs w:val="18"/>
        </w:rPr>
        <w:t xml:space="preserve"> (2020) que também verificaram incrementos positivos sobre a área foliar em plantas de milho por meio do uso de diferentes doses de biocarvão. Os autores atribuíram este incremento </w:t>
      </w:r>
      <w:r w:rsidR="00571927" w:rsidRPr="005C4591">
        <w:rPr>
          <w:rFonts w:ascii="Helvetica" w:eastAsia="Helvetica Neue" w:hAnsi="Helvetica" w:cs="Helvetica Neue"/>
          <w:sz w:val="18"/>
          <w:szCs w:val="18"/>
        </w:rPr>
        <w:t>a</w:t>
      </w:r>
      <w:r w:rsidR="00C25662" w:rsidRPr="005C4591">
        <w:rPr>
          <w:rFonts w:ascii="Helvetica" w:eastAsia="Helvetica Neue" w:hAnsi="Helvetica" w:cs="Helvetica Neue"/>
          <w:sz w:val="18"/>
          <w:szCs w:val="18"/>
        </w:rPr>
        <w:t>os teores de fósforo e potássio absorvidos pela planta, que certamente contribuíram para melhor desempenho da espécie sob uso deste insumo orgânico.</w:t>
      </w:r>
    </w:p>
    <w:p w14:paraId="687770A4" w14:textId="369CDBFF" w:rsidR="00981509" w:rsidRPr="005C4591" w:rsidRDefault="00981509" w:rsidP="00981509">
      <w:pPr>
        <w:widowControl w:val="0"/>
        <w:spacing w:line="288" w:lineRule="auto"/>
        <w:ind w:left="141" w:right="142" w:firstLine="294"/>
        <w:jc w:val="both"/>
        <w:rPr>
          <w:rFonts w:ascii="Helvetica" w:eastAsia="Helvetica Neue" w:hAnsi="Helvetica" w:cs="Helvetica Neue"/>
          <w:sz w:val="18"/>
          <w:szCs w:val="18"/>
        </w:rPr>
      </w:pPr>
    </w:p>
    <w:p w14:paraId="2582570F" w14:textId="0FFBD0B8" w:rsidR="000A22A0" w:rsidRPr="005C4591" w:rsidRDefault="00981509" w:rsidP="000A22A0">
      <w:pPr>
        <w:widowControl w:val="0"/>
        <w:spacing w:line="288" w:lineRule="auto"/>
        <w:ind w:left="141" w:right="142" w:firstLine="294"/>
        <w:jc w:val="center"/>
        <w:rPr>
          <w:rFonts w:ascii="Helvetica" w:eastAsia="Helvetica Neue" w:hAnsi="Helvetica" w:cs="Helvetica Neue"/>
          <w:sz w:val="16"/>
          <w:szCs w:val="16"/>
        </w:rPr>
      </w:pPr>
      <w:r w:rsidRPr="005C4591">
        <w:rPr>
          <w:rFonts w:ascii="Helvetica" w:hAnsi="Helvetica"/>
          <w:noProof/>
          <w:lang w:val="pt-BR"/>
        </w:rPr>
        <w:drawing>
          <wp:inline distT="0" distB="0" distL="0" distR="0" wp14:anchorId="4A82D160" wp14:editId="7DA54994">
            <wp:extent cx="2661920" cy="1567180"/>
            <wp:effectExtent l="0" t="0" r="5080" b="0"/>
            <wp:docPr id="102" name="Picture 96"/>
            <wp:cNvGraphicFramePr/>
            <a:graphic xmlns:a="http://schemas.openxmlformats.org/drawingml/2006/main">
              <a:graphicData uri="http://schemas.openxmlformats.org/drawingml/2006/picture">
                <pic:pic xmlns:pic="http://schemas.openxmlformats.org/drawingml/2006/picture">
                  <pic:nvPicPr>
                    <pic:cNvPr id="102" name="Picture 96"/>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61920" cy="1567180"/>
                    </a:xfrm>
                    <a:prstGeom prst="rect">
                      <a:avLst/>
                    </a:prstGeom>
                    <a:noFill/>
                    <a:ln>
                      <a:noFill/>
                    </a:ln>
                  </pic:spPr>
                </pic:pic>
              </a:graphicData>
            </a:graphic>
          </wp:inline>
        </w:drawing>
      </w:r>
    </w:p>
    <w:p w14:paraId="43823090" w14:textId="5AD6F809" w:rsidR="000A22A0" w:rsidRPr="005C4591" w:rsidRDefault="003660FB" w:rsidP="00981509">
      <w:pPr>
        <w:widowControl w:val="0"/>
        <w:spacing w:line="288" w:lineRule="auto"/>
        <w:ind w:left="141" w:right="141" w:firstLine="294"/>
        <w:jc w:val="center"/>
        <w:rPr>
          <w:rFonts w:ascii="Helvetica" w:eastAsia="Helvetica Neue" w:hAnsi="Helvetica" w:cs="Helvetica Neue"/>
          <w:sz w:val="16"/>
          <w:szCs w:val="16"/>
        </w:rPr>
      </w:pPr>
      <w:r>
        <w:rPr>
          <w:rFonts w:ascii="Helvetica" w:eastAsia="Helvetica Neue" w:hAnsi="Helvetica" w:cs="Helvetica Neue"/>
          <w:sz w:val="18"/>
          <w:szCs w:val="18"/>
        </w:rPr>
        <w:t>Figura 4</w:t>
      </w:r>
      <w:r w:rsidR="000A22A0" w:rsidRPr="005C4591">
        <w:rPr>
          <w:rFonts w:ascii="Helvetica" w:eastAsia="Helvetica Neue" w:hAnsi="Helvetica" w:cs="Helvetica Neue"/>
          <w:sz w:val="18"/>
          <w:szCs w:val="18"/>
        </w:rPr>
        <w:t xml:space="preserve">: </w:t>
      </w:r>
      <w:r w:rsidR="00981509" w:rsidRPr="005C4591">
        <w:rPr>
          <w:rFonts w:ascii="Helvetica" w:eastAsia="Helvetica Neue" w:hAnsi="Helvetica" w:cs="Helvetica Neue"/>
          <w:sz w:val="18"/>
          <w:szCs w:val="18"/>
        </w:rPr>
        <w:t>Área foliar total de mudas de maracujazeiro-amarelo produzidas em substratos com carvão vegetal</w:t>
      </w:r>
      <w:r w:rsidR="000A22A0" w:rsidRPr="005C4591">
        <w:rPr>
          <w:rFonts w:ascii="Helvetica" w:eastAsia="Helvetica Neue" w:hAnsi="Helvetica" w:cs="Helvetica Neue"/>
          <w:sz w:val="16"/>
          <w:szCs w:val="16"/>
        </w:rPr>
        <w:t>.</w:t>
      </w:r>
    </w:p>
    <w:p w14:paraId="748DEA5D" w14:textId="77777777" w:rsidR="000A22A0" w:rsidRPr="005C4591" w:rsidRDefault="000A22A0" w:rsidP="000A22A0">
      <w:pPr>
        <w:widowControl w:val="0"/>
        <w:spacing w:line="288" w:lineRule="auto"/>
        <w:ind w:right="142"/>
        <w:rPr>
          <w:rFonts w:ascii="Helvetica" w:eastAsia="Helvetica Neue" w:hAnsi="Helvetica" w:cs="Helvetica Neue"/>
          <w:sz w:val="16"/>
          <w:szCs w:val="16"/>
        </w:rPr>
      </w:pPr>
    </w:p>
    <w:p w14:paraId="11469B8E" w14:textId="77777777" w:rsidR="00E30283" w:rsidRPr="005C4591" w:rsidRDefault="00E30283" w:rsidP="00942680">
      <w:pPr>
        <w:widowControl w:val="0"/>
        <w:numPr>
          <w:ilvl w:val="0"/>
          <w:numId w:val="1"/>
        </w:numPr>
        <w:ind w:left="436" w:right="142" w:hanging="294"/>
        <w:rPr>
          <w:rFonts w:ascii="Helvetica" w:eastAsia="Helvetica Neue" w:hAnsi="Helvetica" w:cs="Helvetica Neue"/>
          <w:sz w:val="18"/>
          <w:szCs w:val="18"/>
        </w:rPr>
      </w:pPr>
      <w:r w:rsidRPr="005C4591">
        <w:rPr>
          <w:rFonts w:ascii="Helvetica" w:eastAsia="Helvetica Neue" w:hAnsi="Helvetica" w:cs="Helvetica Neue"/>
          <w:b/>
          <w:sz w:val="18"/>
          <w:szCs w:val="18"/>
        </w:rPr>
        <w:t>Conclusões</w:t>
      </w:r>
    </w:p>
    <w:p w14:paraId="0D3F0CF2" w14:textId="1D5D3004" w:rsidR="00E17549" w:rsidRDefault="00571927" w:rsidP="0021678E">
      <w:pPr>
        <w:widowControl w:val="0"/>
        <w:spacing w:before="100" w:after="100" w:line="276" w:lineRule="auto"/>
        <w:ind w:left="141" w:right="141" w:firstLine="285"/>
        <w:jc w:val="both"/>
        <w:rPr>
          <w:rFonts w:ascii="Helvetica" w:eastAsia="Helvetica Neue" w:hAnsi="Helvetica" w:cs="Helvetica Neue"/>
          <w:sz w:val="18"/>
          <w:szCs w:val="18"/>
        </w:rPr>
      </w:pPr>
      <w:r w:rsidRPr="005C4591">
        <w:rPr>
          <w:rFonts w:ascii="Helvetica" w:eastAsia="Helvetica Neue" w:hAnsi="Helvetica" w:cs="Helvetica Neue"/>
          <w:sz w:val="18"/>
          <w:szCs w:val="18"/>
        </w:rPr>
        <w:t xml:space="preserve">Substratos com </w:t>
      </w:r>
      <w:r w:rsidR="00C25662" w:rsidRPr="005C4591">
        <w:rPr>
          <w:rFonts w:ascii="Helvetica" w:eastAsia="Helvetica Neue" w:hAnsi="Helvetica" w:cs="Helvetica Neue"/>
          <w:sz w:val="18"/>
          <w:szCs w:val="18"/>
        </w:rPr>
        <w:t xml:space="preserve">100% </w:t>
      </w:r>
      <w:r w:rsidRPr="005C4591">
        <w:rPr>
          <w:rFonts w:ascii="Helvetica" w:eastAsia="Helvetica Neue" w:hAnsi="Helvetica" w:cs="Helvetica Neue"/>
          <w:sz w:val="18"/>
          <w:szCs w:val="18"/>
        </w:rPr>
        <w:t xml:space="preserve">de biocarvão reduzem </w:t>
      </w:r>
      <w:r w:rsidR="0062529E" w:rsidRPr="005C4591">
        <w:rPr>
          <w:rFonts w:ascii="Helvetica" w:eastAsia="Helvetica Neue" w:hAnsi="Helvetica" w:cs="Helvetica Neue"/>
          <w:sz w:val="18"/>
          <w:szCs w:val="18"/>
        </w:rPr>
        <w:t>os atributos de crescimento das</w:t>
      </w:r>
      <w:r w:rsidR="00C25662" w:rsidRPr="005C4591">
        <w:rPr>
          <w:rFonts w:ascii="Helvetica" w:eastAsia="Helvetica Neue" w:hAnsi="Helvetica" w:cs="Helvetica Neue"/>
          <w:sz w:val="18"/>
          <w:szCs w:val="18"/>
        </w:rPr>
        <w:t xml:space="preserve"> mudas de maracujazeiro-amarelo</w:t>
      </w:r>
      <w:r w:rsidR="0062529E" w:rsidRPr="005C4591">
        <w:rPr>
          <w:rFonts w:ascii="Helvetica" w:eastAsia="Helvetica Neue" w:hAnsi="Helvetica" w:cs="Helvetica Neue"/>
          <w:sz w:val="18"/>
          <w:szCs w:val="18"/>
        </w:rPr>
        <w:t>, não sendo recomendado para seu uso</w:t>
      </w:r>
      <w:r w:rsidR="00C25662" w:rsidRPr="005C4591">
        <w:rPr>
          <w:rFonts w:ascii="Helvetica" w:eastAsia="Helvetica Neue" w:hAnsi="Helvetica" w:cs="Helvetica Neue"/>
          <w:sz w:val="18"/>
          <w:szCs w:val="18"/>
        </w:rPr>
        <w:t>.</w:t>
      </w:r>
      <w:r w:rsidR="0021678E">
        <w:rPr>
          <w:rFonts w:ascii="Helvetica" w:eastAsia="Helvetica Neue" w:hAnsi="Helvetica" w:cs="Helvetica Neue"/>
          <w:sz w:val="18"/>
          <w:szCs w:val="18"/>
        </w:rPr>
        <w:t xml:space="preserve"> </w:t>
      </w:r>
      <w:r w:rsidRPr="005C4591">
        <w:rPr>
          <w:rFonts w:ascii="Helvetica" w:eastAsia="Helvetica Neue" w:hAnsi="Helvetica" w:cs="Helvetica Neue"/>
          <w:sz w:val="18"/>
          <w:szCs w:val="18"/>
        </w:rPr>
        <w:t>Subst</w:t>
      </w:r>
      <w:r w:rsidR="0003515B">
        <w:rPr>
          <w:rFonts w:ascii="Helvetica" w:eastAsia="Helvetica Neue" w:hAnsi="Helvetica" w:cs="Helvetica Neue"/>
          <w:sz w:val="18"/>
          <w:szCs w:val="18"/>
        </w:rPr>
        <w:t>ratos confeccionados com até 27,</w:t>
      </w:r>
      <w:r w:rsidRPr="005C4591">
        <w:rPr>
          <w:rFonts w:ascii="Helvetica" w:eastAsia="Helvetica Neue" w:hAnsi="Helvetica" w:cs="Helvetica Neue"/>
          <w:sz w:val="18"/>
          <w:szCs w:val="18"/>
        </w:rPr>
        <w:t xml:space="preserve">0% de biocarvão na composição beneficiam as taxas de crescimento em altura e em diâmetro caulinar, o </w:t>
      </w:r>
      <w:r w:rsidR="0062529E" w:rsidRPr="005C4591">
        <w:rPr>
          <w:rFonts w:ascii="Helvetica" w:eastAsia="Helvetica Neue" w:hAnsi="Helvetica" w:cs="Helvetica Neue"/>
          <w:sz w:val="18"/>
          <w:szCs w:val="18"/>
        </w:rPr>
        <w:t>número de folhas e</w:t>
      </w:r>
      <w:r w:rsidRPr="005C4591">
        <w:rPr>
          <w:rFonts w:ascii="Helvetica" w:eastAsia="Helvetica Neue" w:hAnsi="Helvetica" w:cs="Helvetica Neue"/>
          <w:sz w:val="18"/>
          <w:szCs w:val="18"/>
        </w:rPr>
        <w:t xml:space="preserve"> a</w:t>
      </w:r>
      <w:r w:rsidR="0062529E" w:rsidRPr="005C4591">
        <w:rPr>
          <w:rFonts w:ascii="Helvetica" w:eastAsia="Helvetica Neue" w:hAnsi="Helvetica" w:cs="Helvetica Neue"/>
          <w:sz w:val="18"/>
          <w:szCs w:val="18"/>
        </w:rPr>
        <w:t xml:space="preserve"> expansão foliar </w:t>
      </w:r>
      <w:r w:rsidRPr="005C4591">
        <w:rPr>
          <w:rFonts w:ascii="Helvetica" w:eastAsia="Helvetica Neue" w:hAnsi="Helvetica" w:cs="Helvetica Neue"/>
          <w:sz w:val="18"/>
          <w:szCs w:val="18"/>
        </w:rPr>
        <w:t>de mudas de maracujazeiro-amarelo</w:t>
      </w:r>
      <w:r w:rsidR="00C25662" w:rsidRPr="005C4591">
        <w:rPr>
          <w:rFonts w:ascii="Helvetica" w:eastAsia="Helvetica Neue" w:hAnsi="Helvetica" w:cs="Helvetica Neue"/>
          <w:sz w:val="18"/>
          <w:szCs w:val="18"/>
        </w:rPr>
        <w:t xml:space="preserve">. </w:t>
      </w:r>
    </w:p>
    <w:p w14:paraId="4B007C0F" w14:textId="1B07CA1E" w:rsidR="003E70A1" w:rsidRPr="005C4591" w:rsidRDefault="003E70A1" w:rsidP="00E17549">
      <w:pPr>
        <w:widowControl w:val="0"/>
        <w:spacing w:before="100" w:after="100" w:line="276" w:lineRule="auto"/>
        <w:ind w:left="141" w:right="141" w:firstLine="285"/>
        <w:jc w:val="both"/>
        <w:rPr>
          <w:rFonts w:ascii="Helvetica" w:eastAsia="Helvetica Neue" w:hAnsi="Helvetica" w:cs="Helvetica Neue"/>
          <w:b/>
          <w:sz w:val="18"/>
          <w:szCs w:val="18"/>
        </w:rPr>
      </w:pPr>
      <w:r>
        <w:rPr>
          <w:rFonts w:ascii="Helvetica" w:eastAsia="Helvetica Neue" w:hAnsi="Helvetica" w:cs="Helvetica Neue"/>
          <w:sz w:val="18"/>
          <w:szCs w:val="18"/>
        </w:rPr>
        <w:t>O uso do biocarvão poderá contribuir para consecução da meta 2 dos Objetivos de Desenvolvimento Sustentável (ODS) da Organização das Nações Unidas (ONU) em face do caráter de sustentabilidade ambiental e econômica para o produtor rural.</w:t>
      </w:r>
    </w:p>
    <w:p w14:paraId="07E75C6E" w14:textId="77777777" w:rsidR="0003515B" w:rsidRDefault="0003515B" w:rsidP="00E17549">
      <w:pPr>
        <w:widowControl w:val="0"/>
        <w:spacing w:before="100" w:after="100" w:line="288" w:lineRule="auto"/>
        <w:ind w:left="141" w:right="141" w:firstLine="1"/>
        <w:jc w:val="both"/>
        <w:rPr>
          <w:rFonts w:ascii="Helvetica" w:eastAsia="Helvetica Neue" w:hAnsi="Helvetica" w:cs="Helvetica Neue"/>
          <w:b/>
          <w:sz w:val="18"/>
          <w:szCs w:val="18"/>
        </w:rPr>
      </w:pPr>
    </w:p>
    <w:p w14:paraId="5945A570" w14:textId="1FD34AC0" w:rsidR="00607916" w:rsidRPr="005C4591" w:rsidRDefault="00726ADD" w:rsidP="00E17549">
      <w:pPr>
        <w:widowControl w:val="0"/>
        <w:spacing w:before="100" w:after="100" w:line="288" w:lineRule="auto"/>
        <w:ind w:left="141" w:right="141" w:firstLine="1"/>
        <w:jc w:val="both"/>
        <w:rPr>
          <w:rFonts w:ascii="Helvetica" w:eastAsia="Helvetica Neue" w:hAnsi="Helvetica" w:cs="Helvetica Neue"/>
          <w:sz w:val="18"/>
          <w:szCs w:val="18"/>
        </w:rPr>
      </w:pPr>
      <w:r w:rsidRPr="005C4591">
        <w:rPr>
          <w:rFonts w:ascii="Helvetica" w:eastAsia="Helvetica Neue" w:hAnsi="Helvetica" w:cs="Helvetica Neue"/>
          <w:b/>
          <w:sz w:val="18"/>
          <w:szCs w:val="18"/>
        </w:rPr>
        <w:t>Referências</w:t>
      </w:r>
    </w:p>
    <w:p w14:paraId="466EB9AF" w14:textId="0537639F" w:rsidR="0037538F" w:rsidRPr="005C4591" w:rsidRDefault="0037538F" w:rsidP="0037538F">
      <w:pPr>
        <w:widowControl w:val="0"/>
        <w:spacing w:after="120" w:line="288" w:lineRule="auto"/>
        <w:ind w:left="142" w:right="142"/>
        <w:rPr>
          <w:rFonts w:ascii="Helvetica" w:eastAsia="Helvetica Neue" w:hAnsi="Helvetica" w:cs="Helvetica Neue"/>
          <w:sz w:val="18"/>
          <w:szCs w:val="18"/>
          <w:lang w:val="pt-BR"/>
        </w:rPr>
      </w:pPr>
      <w:r w:rsidRPr="005C4591">
        <w:rPr>
          <w:rFonts w:ascii="Helvetica" w:eastAsia="Helvetica Neue" w:hAnsi="Helvetica" w:cs="Helvetica Neue"/>
          <w:sz w:val="18"/>
          <w:szCs w:val="18"/>
        </w:rPr>
        <w:t xml:space="preserve">BENINCASA, M. M. P. </w:t>
      </w:r>
      <w:r w:rsidRPr="005C4591">
        <w:rPr>
          <w:rFonts w:ascii="Helvetica" w:eastAsia="Helvetica Neue" w:hAnsi="Helvetica" w:cs="Helvetica Neue"/>
          <w:b/>
          <w:sz w:val="18"/>
          <w:szCs w:val="18"/>
        </w:rPr>
        <w:t xml:space="preserve">Análise de crescimento de plantas: </w:t>
      </w:r>
      <w:r w:rsidRPr="005C4591">
        <w:rPr>
          <w:rFonts w:ascii="Helvetica" w:eastAsia="Helvetica Neue" w:hAnsi="Helvetica" w:cs="Helvetica Neue"/>
          <w:sz w:val="18"/>
          <w:szCs w:val="18"/>
        </w:rPr>
        <w:t xml:space="preserve">noções básicas. </w:t>
      </w:r>
      <w:r w:rsidRPr="005C4591">
        <w:rPr>
          <w:rFonts w:ascii="Helvetica" w:eastAsia="Helvetica Neue" w:hAnsi="Helvetica" w:cs="Helvetica Neue"/>
          <w:sz w:val="18"/>
          <w:szCs w:val="18"/>
          <w:lang w:val="pt-BR"/>
        </w:rPr>
        <w:t>Ja</w:t>
      </w:r>
      <w:r w:rsidR="00571927" w:rsidRPr="005C4591">
        <w:rPr>
          <w:rFonts w:ascii="Helvetica" w:eastAsia="Helvetica Neue" w:hAnsi="Helvetica" w:cs="Helvetica Neue"/>
          <w:sz w:val="18"/>
          <w:szCs w:val="18"/>
          <w:lang w:val="pt-BR"/>
        </w:rPr>
        <w:t>b</w:t>
      </w:r>
      <w:r w:rsidRPr="005C4591">
        <w:rPr>
          <w:rFonts w:ascii="Helvetica" w:eastAsia="Helvetica Neue" w:hAnsi="Helvetica" w:cs="Helvetica Neue"/>
          <w:sz w:val="18"/>
          <w:szCs w:val="18"/>
          <w:lang w:val="pt-BR"/>
        </w:rPr>
        <w:t>oticabal: FUNEP, 2003. 42p.</w:t>
      </w:r>
    </w:p>
    <w:p w14:paraId="52150A97" w14:textId="77777777" w:rsidR="00BB7C45" w:rsidRPr="005C4591" w:rsidRDefault="00BB7C45" w:rsidP="00BB7C45">
      <w:pPr>
        <w:widowControl w:val="0"/>
        <w:spacing w:after="120" w:line="288" w:lineRule="auto"/>
        <w:ind w:left="142" w:right="142"/>
        <w:rPr>
          <w:rFonts w:ascii="Helvetica" w:eastAsia="Helvetica Neue" w:hAnsi="Helvetica" w:cs="Helvetica Neue"/>
          <w:sz w:val="18"/>
          <w:szCs w:val="18"/>
        </w:rPr>
      </w:pPr>
      <w:r w:rsidRPr="005C4591">
        <w:rPr>
          <w:rFonts w:ascii="Helvetica" w:eastAsia="Helvetica Neue" w:hAnsi="Helvetica" w:cs="Helvetica Neue"/>
          <w:sz w:val="18"/>
          <w:szCs w:val="18"/>
        </w:rPr>
        <w:t xml:space="preserve">FERREIRA, D. F. Sisvar: a computer statistical analysis system. </w:t>
      </w:r>
      <w:r w:rsidRPr="005C4591">
        <w:rPr>
          <w:rFonts w:ascii="Helvetica" w:eastAsia="Helvetica Neue" w:hAnsi="Helvetica" w:cs="Helvetica Neue"/>
          <w:b/>
          <w:sz w:val="18"/>
          <w:szCs w:val="18"/>
        </w:rPr>
        <w:t xml:space="preserve">Ciência &amp; Agrotecnologia, </w:t>
      </w:r>
      <w:r w:rsidRPr="005C4591">
        <w:rPr>
          <w:rFonts w:ascii="Helvetica" w:eastAsia="Helvetica Neue" w:hAnsi="Helvetica" w:cs="Helvetica Neue"/>
          <w:sz w:val="18"/>
          <w:szCs w:val="18"/>
        </w:rPr>
        <w:t>v. 35, n. 6, p. 1039-1042, 2011.</w:t>
      </w:r>
    </w:p>
    <w:p w14:paraId="1BBC9BFA" w14:textId="77777777" w:rsidR="0037538F" w:rsidRPr="005C4591" w:rsidRDefault="0037538F" w:rsidP="0037538F">
      <w:pPr>
        <w:widowControl w:val="0"/>
        <w:spacing w:after="120" w:line="288" w:lineRule="auto"/>
        <w:ind w:left="142" w:right="142"/>
        <w:rPr>
          <w:rFonts w:ascii="Helvetica" w:eastAsia="Helvetica Neue" w:hAnsi="Helvetica" w:cs="Helvetica Neue"/>
          <w:sz w:val="18"/>
          <w:szCs w:val="18"/>
          <w:lang w:val="pt-BR"/>
        </w:rPr>
      </w:pPr>
      <w:r w:rsidRPr="005C4591">
        <w:rPr>
          <w:rFonts w:ascii="Helvetica" w:eastAsia="Helvetica Neue" w:hAnsi="Helvetica" w:cs="Helvetica Neue"/>
          <w:sz w:val="18"/>
          <w:szCs w:val="18"/>
        </w:rPr>
        <w:t xml:space="preserve">FREIRE, J. L. O.; NASCIMENTO, G. S. Produção de mudas de maracujazeiros amarelo e roxo irrigadas com águas salinas e uso de urina de vaca. </w:t>
      </w:r>
      <w:r w:rsidRPr="005C4591">
        <w:rPr>
          <w:rFonts w:ascii="Helvetica" w:eastAsia="Helvetica Neue" w:hAnsi="Helvetica" w:cs="Helvetica Neue"/>
          <w:b/>
          <w:sz w:val="18"/>
          <w:szCs w:val="18"/>
          <w:lang w:val="pt-BR"/>
        </w:rPr>
        <w:t>Revista Ciências Agrárias</w:t>
      </w:r>
      <w:r w:rsidRPr="005C4591">
        <w:rPr>
          <w:rFonts w:ascii="Helvetica" w:eastAsia="Helvetica Neue" w:hAnsi="Helvetica" w:cs="Helvetica Neue"/>
          <w:sz w:val="18"/>
          <w:szCs w:val="18"/>
          <w:lang w:val="pt-BR"/>
        </w:rPr>
        <w:t>, v. 41, n. 4, p. 111-120, 2018.</w:t>
      </w:r>
    </w:p>
    <w:p w14:paraId="5DE5FAD3" w14:textId="0DEE2CBF" w:rsidR="00BB7C45" w:rsidRPr="005C4591" w:rsidRDefault="00BB7C45" w:rsidP="00BB7C45">
      <w:pPr>
        <w:widowControl w:val="0"/>
        <w:spacing w:after="120" w:line="288" w:lineRule="auto"/>
        <w:ind w:left="142" w:right="142"/>
        <w:rPr>
          <w:rFonts w:ascii="Helvetica" w:eastAsia="Helvetica Neue" w:hAnsi="Helvetica" w:cs="Helvetica Neue"/>
          <w:sz w:val="18"/>
          <w:szCs w:val="18"/>
          <w:lang w:val="en-GB"/>
        </w:rPr>
      </w:pPr>
      <w:r w:rsidRPr="005C4591">
        <w:rPr>
          <w:rFonts w:ascii="Helvetica" w:eastAsia="Helvetica Neue" w:hAnsi="Helvetica" w:cs="Helvetica Neue"/>
          <w:sz w:val="18"/>
          <w:szCs w:val="18"/>
          <w:lang w:val="pt-BR"/>
        </w:rPr>
        <w:t xml:space="preserve">ICHWANI, B.; MAPEGAU; MARLINA. </w:t>
      </w:r>
      <w:r w:rsidRPr="005C4591">
        <w:rPr>
          <w:rFonts w:ascii="Helvetica" w:eastAsia="Helvetica Neue" w:hAnsi="Helvetica" w:cs="Helvetica Neue"/>
          <w:sz w:val="18"/>
          <w:szCs w:val="18"/>
          <w:lang w:val="en-GB"/>
        </w:rPr>
        <w:t xml:space="preserve">Coconut husk biochar application on increasing growth and yield of maize plant, and improvement fertility of </w:t>
      </w:r>
      <w:proofErr w:type="spellStart"/>
      <w:r w:rsidR="00571927" w:rsidRPr="005C4591">
        <w:rPr>
          <w:rFonts w:ascii="Helvetica" w:eastAsia="Helvetica Neue" w:hAnsi="Helvetica" w:cs="Helvetica Neue"/>
          <w:sz w:val="18"/>
          <w:szCs w:val="18"/>
          <w:lang w:val="en-GB"/>
        </w:rPr>
        <w:t>u</w:t>
      </w:r>
      <w:r w:rsidRPr="005C4591">
        <w:rPr>
          <w:rFonts w:ascii="Helvetica" w:eastAsia="Helvetica Neue" w:hAnsi="Helvetica" w:cs="Helvetica Neue"/>
          <w:sz w:val="18"/>
          <w:szCs w:val="18"/>
          <w:lang w:val="en-GB"/>
        </w:rPr>
        <w:t>ltisol</w:t>
      </w:r>
      <w:proofErr w:type="spellEnd"/>
      <w:r w:rsidRPr="005C4591">
        <w:rPr>
          <w:rFonts w:ascii="Helvetica" w:eastAsia="Helvetica Neue" w:hAnsi="Helvetica" w:cs="Helvetica Neue"/>
          <w:sz w:val="18"/>
          <w:szCs w:val="18"/>
          <w:lang w:val="en-GB"/>
        </w:rPr>
        <w:t xml:space="preserve"> dry land. </w:t>
      </w:r>
      <w:r w:rsidRPr="005C4591">
        <w:rPr>
          <w:rFonts w:ascii="Helvetica" w:eastAsia="Helvetica Neue" w:hAnsi="Helvetica" w:cs="Helvetica Neue"/>
          <w:b/>
          <w:sz w:val="18"/>
          <w:szCs w:val="18"/>
          <w:lang w:val="en-GB"/>
        </w:rPr>
        <w:t>Systematic Review Pharmacy</w:t>
      </w:r>
      <w:r w:rsidRPr="005C4591">
        <w:rPr>
          <w:rFonts w:ascii="Helvetica" w:eastAsia="Helvetica Neue" w:hAnsi="Helvetica" w:cs="Helvetica Neue"/>
          <w:sz w:val="18"/>
          <w:szCs w:val="18"/>
          <w:lang w:val="en-GB"/>
        </w:rPr>
        <w:t>, v. 11, n. 2, p. 187-192, 2020.</w:t>
      </w:r>
    </w:p>
    <w:p w14:paraId="6BC2A1E1" w14:textId="1A07EF75" w:rsidR="00BB7C45" w:rsidRPr="005C4591" w:rsidRDefault="00BB7C45" w:rsidP="00BB7C45">
      <w:pPr>
        <w:widowControl w:val="0"/>
        <w:spacing w:after="120" w:line="288" w:lineRule="auto"/>
        <w:ind w:left="142" w:right="142"/>
        <w:rPr>
          <w:rFonts w:ascii="Helvetica" w:eastAsia="Helvetica Neue" w:hAnsi="Helvetica" w:cs="Helvetica Neue"/>
          <w:sz w:val="18"/>
          <w:szCs w:val="18"/>
          <w:lang w:val="en-GB"/>
        </w:rPr>
      </w:pPr>
      <w:r w:rsidRPr="005C4591">
        <w:rPr>
          <w:rFonts w:ascii="Helvetica" w:eastAsia="Helvetica Neue" w:hAnsi="Helvetica" w:cs="Helvetica Neue"/>
          <w:sz w:val="18"/>
          <w:szCs w:val="18"/>
          <w:lang w:val="en-GB"/>
        </w:rPr>
        <w:t xml:space="preserve">PETTER, F. A. et al. </w:t>
      </w:r>
      <w:r w:rsidRPr="005C4591">
        <w:rPr>
          <w:rFonts w:ascii="Helvetica" w:eastAsia="Helvetica Neue" w:hAnsi="Helvetica" w:cs="Helvetica Neue"/>
          <w:sz w:val="18"/>
          <w:szCs w:val="18"/>
          <w:lang w:val="pt-BR"/>
        </w:rPr>
        <w:t xml:space="preserve">Biochar como condicionador de substrato para a produção de mudas de alface. </w:t>
      </w:r>
      <w:r w:rsidRPr="005C4591">
        <w:rPr>
          <w:rFonts w:ascii="Helvetica" w:eastAsia="Helvetica Neue" w:hAnsi="Helvetica" w:cs="Helvetica Neue"/>
          <w:b/>
          <w:sz w:val="18"/>
          <w:szCs w:val="18"/>
          <w:lang w:val="en-GB"/>
        </w:rPr>
        <w:t>Revista Agrarian</w:t>
      </w:r>
      <w:r w:rsidRPr="005C4591">
        <w:rPr>
          <w:rFonts w:ascii="Helvetica" w:eastAsia="Helvetica Neue" w:hAnsi="Helvetica" w:cs="Helvetica Neue"/>
          <w:sz w:val="18"/>
          <w:szCs w:val="18"/>
          <w:lang w:val="en-GB"/>
        </w:rPr>
        <w:t>, v. 5, n. 17, p. 243-250, 2012.</w:t>
      </w:r>
    </w:p>
    <w:p w14:paraId="18C2BE38" w14:textId="77777777" w:rsidR="0037538F" w:rsidRPr="005C4591" w:rsidRDefault="0037538F" w:rsidP="0037538F">
      <w:pPr>
        <w:widowControl w:val="0"/>
        <w:spacing w:after="120" w:line="288" w:lineRule="auto"/>
        <w:ind w:left="142" w:right="142"/>
        <w:rPr>
          <w:rFonts w:ascii="Helvetica" w:eastAsia="Helvetica Neue" w:hAnsi="Helvetica" w:cs="Helvetica Neue"/>
          <w:sz w:val="18"/>
          <w:szCs w:val="18"/>
          <w:lang w:val="en-GB"/>
        </w:rPr>
      </w:pPr>
      <w:r w:rsidRPr="005C4591">
        <w:rPr>
          <w:rFonts w:ascii="Helvetica" w:eastAsia="Helvetica Neue" w:hAnsi="Helvetica" w:cs="Helvetica Neue"/>
          <w:sz w:val="18"/>
          <w:szCs w:val="18"/>
          <w:lang w:val="en-GB"/>
        </w:rPr>
        <w:t xml:space="preserve">RAWAT, J.; SAXENA, J.; SANWAL, P. </w:t>
      </w:r>
      <w:r w:rsidRPr="0021678E">
        <w:rPr>
          <w:rFonts w:ascii="Helvetica" w:eastAsia="Helvetica Neue" w:hAnsi="Helvetica" w:cs="Helvetica Neue"/>
          <w:b/>
          <w:sz w:val="18"/>
          <w:szCs w:val="18"/>
          <w:lang w:val="en-GB"/>
        </w:rPr>
        <w:t>BIOCHAR: a sustainable approach for improving plant growth and soil properties</w:t>
      </w:r>
      <w:r w:rsidRPr="005C4591">
        <w:rPr>
          <w:rFonts w:ascii="Helvetica" w:eastAsia="Helvetica Neue" w:hAnsi="Helvetica" w:cs="Helvetica Neue"/>
          <w:sz w:val="18"/>
          <w:szCs w:val="18"/>
          <w:lang w:val="en-GB"/>
        </w:rPr>
        <w:t>. In: ABROL, V.; SHARMA, P. (Eds) Biochar. Londres: IntechOpen, 2018. p. 01-17, 2018.</w:t>
      </w:r>
    </w:p>
    <w:p w14:paraId="33252EC7" w14:textId="43F52A77" w:rsidR="0037538F" w:rsidRPr="005C4591" w:rsidRDefault="0037538F" w:rsidP="0037538F">
      <w:pPr>
        <w:widowControl w:val="0"/>
        <w:spacing w:after="120" w:line="288" w:lineRule="auto"/>
        <w:ind w:left="142" w:right="142"/>
        <w:rPr>
          <w:rFonts w:ascii="Helvetica" w:eastAsia="Helvetica Neue" w:hAnsi="Helvetica" w:cs="Helvetica Neue"/>
          <w:sz w:val="18"/>
          <w:szCs w:val="18"/>
          <w:lang w:val="en-GB"/>
        </w:rPr>
      </w:pPr>
      <w:r w:rsidRPr="005C4591">
        <w:rPr>
          <w:rFonts w:ascii="Helvetica" w:eastAsia="Helvetica Neue" w:hAnsi="Helvetica" w:cs="Helvetica Neue"/>
          <w:sz w:val="18"/>
          <w:szCs w:val="18"/>
          <w:lang w:val="en-GB"/>
        </w:rPr>
        <w:t xml:space="preserve">ZOGHI, Z. et al. The effect of biochar amendment on the growth, morphology and physiology of </w:t>
      </w:r>
      <w:r w:rsidRPr="005C4591">
        <w:rPr>
          <w:rFonts w:ascii="Helvetica" w:eastAsia="Helvetica Neue" w:hAnsi="Helvetica" w:cs="Helvetica Neue"/>
          <w:i/>
          <w:iCs/>
          <w:sz w:val="18"/>
          <w:szCs w:val="18"/>
          <w:lang w:val="en-GB"/>
        </w:rPr>
        <w:t>Quercus</w:t>
      </w:r>
      <w:r w:rsidRPr="005C4591">
        <w:rPr>
          <w:rFonts w:ascii="Helvetica" w:eastAsia="Helvetica Neue" w:hAnsi="Helvetica" w:cs="Helvetica Neue"/>
          <w:sz w:val="18"/>
          <w:szCs w:val="18"/>
          <w:lang w:val="en-GB"/>
        </w:rPr>
        <w:t xml:space="preserve"> </w:t>
      </w:r>
      <w:r w:rsidRPr="005C4591">
        <w:rPr>
          <w:rFonts w:ascii="Helvetica" w:eastAsia="Helvetica Neue" w:hAnsi="Helvetica" w:cs="Helvetica Neue"/>
          <w:i/>
          <w:iCs/>
          <w:sz w:val="18"/>
          <w:szCs w:val="18"/>
          <w:lang w:val="en-GB"/>
        </w:rPr>
        <w:t>castaneifolia</w:t>
      </w:r>
      <w:r w:rsidRPr="005C4591">
        <w:rPr>
          <w:rFonts w:ascii="Helvetica" w:eastAsia="Helvetica Neue" w:hAnsi="Helvetica" w:cs="Helvetica Neue"/>
          <w:sz w:val="18"/>
          <w:szCs w:val="18"/>
          <w:lang w:val="en-GB"/>
        </w:rPr>
        <w:t xml:space="preserve"> seedlings under water-deficit stress. </w:t>
      </w:r>
      <w:r w:rsidRPr="005C4591">
        <w:rPr>
          <w:rFonts w:ascii="Helvetica" w:eastAsia="Helvetica Neue" w:hAnsi="Helvetica" w:cs="Helvetica Neue"/>
          <w:b/>
          <w:sz w:val="18"/>
          <w:szCs w:val="18"/>
          <w:lang w:val="en-GB"/>
        </w:rPr>
        <w:t>European Journal of Forest Research</w:t>
      </w:r>
      <w:r w:rsidRPr="005C4591">
        <w:rPr>
          <w:rFonts w:ascii="Helvetica" w:eastAsia="Helvetica Neue" w:hAnsi="Helvetica" w:cs="Helvetica Neue"/>
          <w:sz w:val="18"/>
          <w:szCs w:val="18"/>
          <w:lang w:val="en-GB"/>
        </w:rPr>
        <w:t>, v. 138, p. 967– 979, 2019.</w:t>
      </w:r>
    </w:p>
    <w:p w14:paraId="388E25C2" w14:textId="12EC7D96" w:rsidR="0037538F" w:rsidRPr="0037538F" w:rsidRDefault="0037538F" w:rsidP="0037538F">
      <w:pPr>
        <w:widowControl w:val="0"/>
        <w:spacing w:after="120" w:line="288" w:lineRule="auto"/>
        <w:ind w:left="142" w:right="142"/>
        <w:rPr>
          <w:rFonts w:ascii="Helvetica Neue" w:eastAsia="Helvetica Neue" w:hAnsi="Helvetica Neue" w:cs="Helvetica Neue"/>
          <w:sz w:val="18"/>
          <w:szCs w:val="18"/>
          <w:lang w:val="pt-BR"/>
        </w:rPr>
      </w:pPr>
    </w:p>
    <w:p w14:paraId="6FDAEB6B" w14:textId="77777777" w:rsidR="00943D6E" w:rsidRPr="0037538F" w:rsidRDefault="00943D6E" w:rsidP="00943D6E">
      <w:pPr>
        <w:widowControl w:val="0"/>
        <w:spacing w:after="120" w:line="288" w:lineRule="auto"/>
        <w:ind w:left="142" w:right="142"/>
        <w:rPr>
          <w:rFonts w:ascii="Helvetica Neue" w:eastAsia="Helvetica Neue" w:hAnsi="Helvetica Neue" w:cs="Helvetica Neue"/>
          <w:sz w:val="18"/>
          <w:szCs w:val="18"/>
          <w:lang w:val="pt-BR"/>
        </w:rPr>
      </w:pPr>
    </w:p>
    <w:sectPr w:rsidR="00943D6E" w:rsidRPr="0037538F">
      <w:headerReference w:type="default" r:id="rId11"/>
      <w:footerReference w:type="default" r:id="rId12"/>
      <w:pgSz w:w="11920" w:h="16840"/>
      <w:pgMar w:top="1620" w:right="1020" w:bottom="880" w:left="1020" w:header="119" w:footer="283"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F76C05" w14:textId="77777777" w:rsidR="00F21F5F" w:rsidRDefault="00F21F5F">
      <w:r>
        <w:separator/>
      </w:r>
    </w:p>
  </w:endnote>
  <w:endnote w:type="continuationSeparator" w:id="0">
    <w:p w14:paraId="202C14FD" w14:textId="77777777" w:rsidR="00F21F5F" w:rsidRDefault="00F21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Helvetica Neue">
    <w:altName w:val="Times New Roman"/>
    <w:charset w:val="00"/>
    <w:family w:val="auto"/>
    <w:pitch w:val="default"/>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963D86" w14:textId="77777777" w:rsidR="00607916" w:rsidRDefault="00607916">
    <w:pPr>
      <w:widowControl w:val="0"/>
      <w:spacing w:before="212"/>
      <w:ind w:left="412"/>
      <w:rPr>
        <w:rFonts w:ascii="Helvetica Neue" w:eastAsia="Helvetica Neue" w:hAnsi="Helvetica Neue" w:cs="Helvetica Neue"/>
        <w:sz w:val="18"/>
        <w:szCs w:val="18"/>
      </w:rPr>
    </w:pPr>
  </w:p>
  <w:p w14:paraId="2FC3272E" w14:textId="77777777" w:rsidR="00607916" w:rsidRDefault="00726ADD">
    <w:pPr>
      <w:widowControl w:val="0"/>
      <w:pBdr>
        <w:top w:val="nil"/>
        <w:left w:val="nil"/>
        <w:bottom w:val="nil"/>
        <w:right w:val="nil"/>
        <w:between w:val="nil"/>
      </w:pBdr>
      <w:spacing w:line="14" w:lineRule="auto"/>
      <w:ind w:left="-1020"/>
      <w:rPr>
        <w:rFonts w:ascii="Helvetica Neue" w:eastAsia="Helvetica Neue" w:hAnsi="Helvetica Neue" w:cs="Helvetica Neue"/>
        <w:color w:val="000000"/>
        <w:sz w:val="19"/>
        <w:szCs w:val="19"/>
      </w:rPr>
    </w:pPr>
    <w:r>
      <w:rPr>
        <w:rFonts w:ascii="Helvetica Neue" w:eastAsia="Helvetica Neue" w:hAnsi="Helvetica Neue" w:cs="Helvetica Neue"/>
        <w:noProof/>
        <w:sz w:val="19"/>
        <w:szCs w:val="19"/>
        <w:lang w:val="pt-BR"/>
      </w:rPr>
      <w:drawing>
        <wp:inline distT="114300" distB="114300" distL="114300" distR="114300" wp14:anchorId="13ADDA84" wp14:editId="0FA4A4AA">
          <wp:extent cx="7481888" cy="626656"/>
          <wp:effectExtent l="0" t="0" r="0" b="0"/>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l="-379" t="-65367" r="-9175"/>
                  <a:stretch>
                    <a:fillRect/>
                  </a:stretch>
                </pic:blipFill>
                <pic:spPr>
                  <a:xfrm>
                    <a:off x="0" y="0"/>
                    <a:ext cx="7481888" cy="626656"/>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1F08BD" w14:textId="77777777" w:rsidR="00F21F5F" w:rsidRDefault="00F21F5F">
      <w:r>
        <w:separator/>
      </w:r>
    </w:p>
  </w:footnote>
  <w:footnote w:type="continuationSeparator" w:id="0">
    <w:p w14:paraId="2A0290CA" w14:textId="77777777" w:rsidR="00F21F5F" w:rsidRDefault="00F21F5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CEAA95" w14:textId="66AE0E80" w:rsidR="00607916" w:rsidRDefault="00726ADD">
    <w:pPr>
      <w:widowControl w:val="0"/>
      <w:pBdr>
        <w:top w:val="nil"/>
        <w:left w:val="nil"/>
        <w:bottom w:val="nil"/>
        <w:right w:val="nil"/>
        <w:between w:val="nil"/>
      </w:pBdr>
      <w:spacing w:line="14" w:lineRule="auto"/>
      <w:ind w:left="-992" w:hanging="27"/>
      <w:rPr>
        <w:rFonts w:ascii="Helvetica Neue" w:eastAsia="Helvetica Neue" w:hAnsi="Helvetica Neue" w:cs="Helvetica Neue"/>
        <w:color w:val="000000"/>
        <w:sz w:val="19"/>
        <w:szCs w:val="19"/>
      </w:rPr>
    </w:pPr>
    <w:r>
      <w:rPr>
        <w:rFonts w:ascii="Helvetica Neue" w:eastAsia="Helvetica Neue" w:hAnsi="Helvetica Neue" w:cs="Helvetica Neue"/>
        <w:noProof/>
        <w:sz w:val="19"/>
        <w:szCs w:val="19"/>
        <w:lang w:val="pt-BR"/>
      </w:rPr>
      <w:drawing>
        <wp:inline distT="114300" distB="114300" distL="114300" distR="114300" wp14:anchorId="7F4913B9" wp14:editId="31869924">
          <wp:extent cx="7548563" cy="811160"/>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l="17" r="17"/>
                  <a:stretch>
                    <a:fillRect/>
                  </a:stretch>
                </pic:blipFill>
                <pic:spPr>
                  <a:xfrm>
                    <a:off x="0" y="0"/>
                    <a:ext cx="7548563" cy="811160"/>
                  </a:xfrm>
                  <a:prstGeom prst="rect">
                    <a:avLst/>
                  </a:prstGeom>
                  <a:ln/>
                </pic:spPr>
              </pic:pic>
            </a:graphicData>
          </a:graphic>
        </wp:inline>
      </w:drawing>
    </w:r>
    <w:r w:rsidR="00547F34">
      <w:rPr>
        <w:rFonts w:ascii="Helvetica Neue" w:eastAsia="Helvetica Neue" w:hAnsi="Helvetica Neue" w:cs="Helvetica Neue"/>
        <w:color w:val="000000"/>
        <w:sz w:val="19"/>
        <w:szCs w:val="19"/>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011BF5"/>
    <w:multiLevelType w:val="multilevel"/>
    <w:tmpl w:val="612896E6"/>
    <w:lvl w:ilvl="0">
      <w:start w:val="1"/>
      <w:numFmt w:val="decimal"/>
      <w:lvlText w:val="%1"/>
      <w:lvlJc w:val="left"/>
      <w:pPr>
        <w:ind w:left="408" w:hanging="296"/>
      </w:pPr>
      <w:rPr>
        <w:rFonts w:ascii="Arial" w:eastAsia="Arial" w:hAnsi="Arial" w:cs="Arial"/>
        <w:b/>
        <w:i w:val="0"/>
        <w:smallCaps w:val="0"/>
        <w:strike w:val="0"/>
        <w:shd w:val="clear" w:color="auto" w:fill="auto"/>
        <w:vertAlign w:val="baseline"/>
      </w:rPr>
    </w:lvl>
    <w:lvl w:ilvl="1">
      <w:start w:val="1"/>
      <w:numFmt w:val="decimal"/>
      <w:lvlText w:val="%1.%2"/>
      <w:lvlJc w:val="left"/>
      <w:pPr>
        <w:ind w:left="566" w:hanging="454"/>
      </w:pPr>
      <w:rPr>
        <w:rFonts w:ascii="Arial" w:eastAsia="Arial" w:hAnsi="Arial" w:cs="Arial"/>
        <w:b/>
        <w:i w:val="0"/>
        <w:smallCaps w:val="0"/>
        <w:strike w:val="0"/>
        <w:shd w:val="clear" w:color="auto" w:fill="auto"/>
        <w:vertAlign w:val="baseline"/>
      </w:rPr>
    </w:lvl>
    <w:lvl w:ilvl="2">
      <w:start w:val="1"/>
      <w:numFmt w:val="decimal"/>
      <w:lvlText w:val="%1.%2.%3"/>
      <w:lvlJc w:val="left"/>
      <w:pPr>
        <w:ind w:left="678" w:hanging="454"/>
      </w:pPr>
      <w:rPr>
        <w:rFonts w:ascii="Arial" w:eastAsia="Arial" w:hAnsi="Arial" w:cs="Arial"/>
        <w:b/>
        <w:i w:val="0"/>
        <w:smallCaps w:val="0"/>
        <w:strike w:val="0"/>
        <w:shd w:val="clear" w:color="auto" w:fill="auto"/>
        <w:vertAlign w:val="baseline"/>
      </w:rPr>
    </w:lvl>
    <w:lvl w:ilvl="3">
      <w:start w:val="1"/>
      <w:numFmt w:val="decimal"/>
      <w:lvlText w:val="%1.%2.%3.%4"/>
      <w:lvlJc w:val="left"/>
      <w:pPr>
        <w:ind w:left="790" w:hanging="454"/>
      </w:pPr>
      <w:rPr>
        <w:rFonts w:ascii="Arial" w:eastAsia="Arial" w:hAnsi="Arial" w:cs="Arial"/>
        <w:b/>
        <w:i w:val="0"/>
        <w:smallCaps w:val="0"/>
        <w:strike w:val="0"/>
        <w:shd w:val="clear" w:color="auto" w:fill="auto"/>
        <w:vertAlign w:val="baseline"/>
      </w:rPr>
    </w:lvl>
    <w:lvl w:ilvl="4">
      <w:start w:val="1"/>
      <w:numFmt w:val="decimal"/>
      <w:lvlText w:val="%1.%2.%3.%4.%5"/>
      <w:lvlJc w:val="left"/>
      <w:pPr>
        <w:ind w:left="902" w:hanging="453"/>
      </w:pPr>
      <w:rPr>
        <w:rFonts w:ascii="Arial" w:eastAsia="Arial" w:hAnsi="Arial" w:cs="Arial"/>
        <w:b/>
        <w:i w:val="0"/>
        <w:smallCaps w:val="0"/>
        <w:strike w:val="0"/>
        <w:shd w:val="clear" w:color="auto" w:fill="auto"/>
        <w:vertAlign w:val="baseline"/>
      </w:rPr>
    </w:lvl>
    <w:lvl w:ilvl="5">
      <w:start w:val="1"/>
      <w:numFmt w:val="decimal"/>
      <w:lvlText w:val="%1.%2.%3.%4.%5.%6"/>
      <w:lvlJc w:val="left"/>
      <w:pPr>
        <w:ind w:left="1014" w:hanging="453"/>
      </w:pPr>
      <w:rPr>
        <w:rFonts w:ascii="Arial" w:eastAsia="Arial" w:hAnsi="Arial" w:cs="Arial"/>
        <w:b/>
        <w:i w:val="0"/>
        <w:smallCaps w:val="0"/>
        <w:strike w:val="0"/>
        <w:shd w:val="clear" w:color="auto" w:fill="auto"/>
        <w:vertAlign w:val="baseline"/>
      </w:rPr>
    </w:lvl>
    <w:lvl w:ilvl="6">
      <w:start w:val="1"/>
      <w:numFmt w:val="decimal"/>
      <w:lvlText w:val="%1.%2.%3.%4.%5.%6.%7"/>
      <w:lvlJc w:val="left"/>
      <w:pPr>
        <w:ind w:left="1126" w:hanging="454"/>
      </w:pPr>
      <w:rPr>
        <w:rFonts w:ascii="Arial" w:eastAsia="Arial" w:hAnsi="Arial" w:cs="Arial"/>
        <w:b/>
        <w:i w:val="0"/>
        <w:smallCaps w:val="0"/>
        <w:strike w:val="0"/>
        <w:shd w:val="clear" w:color="auto" w:fill="auto"/>
        <w:vertAlign w:val="baseline"/>
      </w:rPr>
    </w:lvl>
    <w:lvl w:ilvl="7">
      <w:start w:val="1"/>
      <w:numFmt w:val="decimal"/>
      <w:lvlText w:val="%1.%2.%3.%4.%5.%6.%7.%8"/>
      <w:lvlJc w:val="left"/>
      <w:pPr>
        <w:ind w:left="1238" w:hanging="454"/>
      </w:pPr>
      <w:rPr>
        <w:rFonts w:ascii="Arial" w:eastAsia="Arial" w:hAnsi="Arial" w:cs="Arial"/>
        <w:b/>
        <w:i w:val="0"/>
        <w:smallCaps w:val="0"/>
        <w:strike w:val="0"/>
        <w:shd w:val="clear" w:color="auto" w:fill="auto"/>
        <w:vertAlign w:val="baseline"/>
      </w:rPr>
    </w:lvl>
    <w:lvl w:ilvl="8">
      <w:start w:val="1"/>
      <w:numFmt w:val="decimal"/>
      <w:lvlText w:val="%1.%2.%3.%4.%5.%6.%7.%8.%9"/>
      <w:lvlJc w:val="left"/>
      <w:pPr>
        <w:ind w:left="1350" w:hanging="454"/>
      </w:pPr>
      <w:rPr>
        <w:rFonts w:ascii="Arial" w:eastAsia="Arial" w:hAnsi="Arial" w:cs="Arial"/>
        <w:b/>
        <w:i w:val="0"/>
        <w:smallCaps w:val="0"/>
        <w:strike w:val="0"/>
        <w:shd w:val="clear" w:color="auto" w:fill="auto"/>
        <w:vertAlign w:val="baseline"/>
      </w:rPr>
    </w:lvl>
  </w:abstractNum>
  <w:abstractNum w:abstractNumId="1" w15:restartNumberingAfterBreak="0">
    <w:nsid w:val="477766B3"/>
    <w:multiLevelType w:val="multilevel"/>
    <w:tmpl w:val="3672FE80"/>
    <w:lvl w:ilvl="0">
      <w:start w:val="1"/>
      <w:numFmt w:val="decimal"/>
      <w:lvlText w:val="%1."/>
      <w:lvlJc w:val="left"/>
      <w:pPr>
        <w:ind w:left="408" w:hanging="296"/>
      </w:pPr>
      <w:rPr>
        <w:rFonts w:ascii="Arial" w:eastAsia="Arial" w:hAnsi="Arial" w:cs="Arial"/>
        <w:b/>
        <w:i w:val="0"/>
        <w:smallCaps w:val="0"/>
        <w:strike w:val="0"/>
        <w:shd w:val="clear" w:color="auto" w:fill="auto"/>
        <w:vertAlign w:val="baseline"/>
      </w:rPr>
    </w:lvl>
    <w:lvl w:ilvl="1">
      <w:start w:val="4"/>
      <w:numFmt w:val="decimal"/>
      <w:lvlText w:val="%1.%2."/>
      <w:lvlJc w:val="left"/>
      <w:pPr>
        <w:ind w:left="566" w:hanging="454"/>
      </w:pPr>
      <w:rPr>
        <w:rFonts w:ascii="Arial" w:eastAsia="Arial" w:hAnsi="Arial" w:cs="Arial"/>
        <w:b/>
        <w:i w:val="0"/>
        <w:smallCaps w:val="0"/>
        <w:strike w:val="0"/>
        <w:shd w:val="clear" w:color="auto" w:fill="auto"/>
        <w:vertAlign w:val="baseline"/>
      </w:rPr>
    </w:lvl>
    <w:lvl w:ilvl="2">
      <w:start w:val="1"/>
      <w:numFmt w:val="decimal"/>
      <w:lvlText w:val="%1.%2.%3."/>
      <w:lvlJc w:val="left"/>
      <w:pPr>
        <w:ind w:left="678" w:hanging="454"/>
      </w:pPr>
      <w:rPr>
        <w:rFonts w:ascii="Arial" w:eastAsia="Arial" w:hAnsi="Arial" w:cs="Arial"/>
        <w:b/>
        <w:i w:val="0"/>
        <w:smallCaps w:val="0"/>
        <w:strike w:val="0"/>
        <w:shd w:val="clear" w:color="auto" w:fill="auto"/>
        <w:vertAlign w:val="baseline"/>
      </w:rPr>
    </w:lvl>
    <w:lvl w:ilvl="3">
      <w:start w:val="1"/>
      <w:numFmt w:val="decimal"/>
      <w:lvlText w:val="%1.%2.%3.%4."/>
      <w:lvlJc w:val="left"/>
      <w:pPr>
        <w:ind w:left="790" w:hanging="454"/>
      </w:pPr>
      <w:rPr>
        <w:rFonts w:ascii="Arial" w:eastAsia="Arial" w:hAnsi="Arial" w:cs="Arial"/>
        <w:b/>
        <w:i w:val="0"/>
        <w:smallCaps w:val="0"/>
        <w:strike w:val="0"/>
        <w:shd w:val="clear" w:color="auto" w:fill="auto"/>
        <w:vertAlign w:val="baseline"/>
      </w:rPr>
    </w:lvl>
    <w:lvl w:ilvl="4">
      <w:start w:val="1"/>
      <w:numFmt w:val="decimal"/>
      <w:lvlText w:val="%1.%2.%3.%4.%5."/>
      <w:lvlJc w:val="left"/>
      <w:pPr>
        <w:ind w:left="902" w:hanging="453"/>
      </w:pPr>
      <w:rPr>
        <w:rFonts w:ascii="Arial" w:eastAsia="Arial" w:hAnsi="Arial" w:cs="Arial"/>
        <w:b/>
        <w:i w:val="0"/>
        <w:smallCaps w:val="0"/>
        <w:strike w:val="0"/>
        <w:shd w:val="clear" w:color="auto" w:fill="auto"/>
        <w:vertAlign w:val="baseline"/>
      </w:rPr>
    </w:lvl>
    <w:lvl w:ilvl="5">
      <w:start w:val="1"/>
      <w:numFmt w:val="decimal"/>
      <w:lvlText w:val="%1.%2.%3.%4.%5.%6."/>
      <w:lvlJc w:val="left"/>
      <w:pPr>
        <w:ind w:left="1014" w:hanging="453"/>
      </w:pPr>
      <w:rPr>
        <w:rFonts w:ascii="Arial" w:eastAsia="Arial" w:hAnsi="Arial" w:cs="Arial"/>
        <w:b/>
        <w:i w:val="0"/>
        <w:smallCaps w:val="0"/>
        <w:strike w:val="0"/>
        <w:shd w:val="clear" w:color="auto" w:fill="auto"/>
        <w:vertAlign w:val="baseline"/>
      </w:rPr>
    </w:lvl>
    <w:lvl w:ilvl="6">
      <w:start w:val="1"/>
      <w:numFmt w:val="decimal"/>
      <w:lvlText w:val="%1.%2.%3.%4.%5.%6.%7."/>
      <w:lvlJc w:val="left"/>
      <w:pPr>
        <w:ind w:left="1126" w:hanging="454"/>
      </w:pPr>
      <w:rPr>
        <w:rFonts w:ascii="Arial" w:eastAsia="Arial" w:hAnsi="Arial" w:cs="Arial"/>
        <w:b/>
        <w:i w:val="0"/>
        <w:smallCaps w:val="0"/>
        <w:strike w:val="0"/>
        <w:shd w:val="clear" w:color="auto" w:fill="auto"/>
        <w:vertAlign w:val="baseline"/>
      </w:rPr>
    </w:lvl>
    <w:lvl w:ilvl="7">
      <w:start w:val="1"/>
      <w:numFmt w:val="decimal"/>
      <w:lvlText w:val="%1.%2.%3.%4.%5.%6.%7.%8."/>
      <w:lvlJc w:val="left"/>
      <w:pPr>
        <w:ind w:left="1238" w:hanging="454"/>
      </w:pPr>
      <w:rPr>
        <w:rFonts w:ascii="Arial" w:eastAsia="Arial" w:hAnsi="Arial" w:cs="Arial"/>
        <w:b/>
        <w:i w:val="0"/>
        <w:smallCaps w:val="0"/>
        <w:strike w:val="0"/>
        <w:shd w:val="clear" w:color="auto" w:fill="auto"/>
        <w:vertAlign w:val="baseline"/>
      </w:rPr>
    </w:lvl>
    <w:lvl w:ilvl="8">
      <w:start w:val="1"/>
      <w:numFmt w:val="decimal"/>
      <w:lvlText w:val="%1.%2.%3.%4.%5.%6.%7.%8.%9."/>
      <w:lvlJc w:val="left"/>
      <w:pPr>
        <w:ind w:left="1350" w:hanging="454"/>
      </w:pPr>
      <w:rPr>
        <w:rFonts w:ascii="Arial" w:eastAsia="Arial" w:hAnsi="Arial" w:cs="Arial"/>
        <w:b/>
        <w:i w:val="0"/>
        <w:smallCaps w:val="0"/>
        <w:strike w:val="0"/>
        <w:shd w:val="clear" w:color="auto" w:fill="auto"/>
        <w:vertAlign w:val="baseline"/>
      </w:rPr>
    </w:lvl>
  </w:abstractNum>
  <w:abstractNum w:abstractNumId="2" w15:restartNumberingAfterBreak="0">
    <w:nsid w:val="712270B3"/>
    <w:multiLevelType w:val="multilevel"/>
    <w:tmpl w:val="83D4F570"/>
    <w:lvl w:ilvl="0">
      <w:start w:val="4"/>
      <w:numFmt w:val="decimal"/>
      <w:lvlText w:val="%1."/>
      <w:lvlJc w:val="left"/>
      <w:pPr>
        <w:ind w:left="408" w:hanging="296"/>
      </w:pPr>
      <w:rPr>
        <w:rFonts w:ascii="Arial" w:eastAsia="Arial" w:hAnsi="Arial" w:cs="Arial"/>
        <w:b/>
        <w:i w:val="0"/>
        <w:smallCaps w:val="0"/>
        <w:strike w:val="0"/>
        <w:shd w:val="clear" w:color="auto" w:fill="auto"/>
        <w:vertAlign w:val="baseline"/>
      </w:rPr>
    </w:lvl>
    <w:lvl w:ilvl="1">
      <w:start w:val="1"/>
      <w:numFmt w:val="decimal"/>
      <w:lvlText w:val="%1.%2."/>
      <w:lvlJc w:val="left"/>
      <w:pPr>
        <w:ind w:left="566" w:hanging="454"/>
      </w:pPr>
      <w:rPr>
        <w:rFonts w:ascii="Arial" w:eastAsia="Arial" w:hAnsi="Arial" w:cs="Arial"/>
        <w:b/>
        <w:i w:val="0"/>
        <w:smallCaps w:val="0"/>
        <w:strike w:val="0"/>
        <w:shd w:val="clear" w:color="auto" w:fill="auto"/>
        <w:vertAlign w:val="baseline"/>
      </w:rPr>
    </w:lvl>
    <w:lvl w:ilvl="2">
      <w:start w:val="1"/>
      <w:numFmt w:val="decimal"/>
      <w:lvlText w:val="%1.%2.%3."/>
      <w:lvlJc w:val="left"/>
      <w:pPr>
        <w:ind w:left="678" w:hanging="454"/>
      </w:pPr>
      <w:rPr>
        <w:rFonts w:ascii="Arial" w:eastAsia="Arial" w:hAnsi="Arial" w:cs="Arial"/>
        <w:b/>
        <w:i w:val="0"/>
        <w:smallCaps w:val="0"/>
        <w:strike w:val="0"/>
        <w:shd w:val="clear" w:color="auto" w:fill="auto"/>
        <w:vertAlign w:val="baseline"/>
      </w:rPr>
    </w:lvl>
    <w:lvl w:ilvl="3">
      <w:start w:val="1"/>
      <w:numFmt w:val="decimal"/>
      <w:lvlText w:val="%1.%2.%3.%4."/>
      <w:lvlJc w:val="left"/>
      <w:pPr>
        <w:ind w:left="790" w:hanging="454"/>
      </w:pPr>
      <w:rPr>
        <w:rFonts w:ascii="Arial" w:eastAsia="Arial" w:hAnsi="Arial" w:cs="Arial"/>
        <w:b/>
        <w:i w:val="0"/>
        <w:smallCaps w:val="0"/>
        <w:strike w:val="0"/>
        <w:shd w:val="clear" w:color="auto" w:fill="auto"/>
        <w:vertAlign w:val="baseline"/>
      </w:rPr>
    </w:lvl>
    <w:lvl w:ilvl="4">
      <w:start w:val="1"/>
      <w:numFmt w:val="decimal"/>
      <w:lvlText w:val="%1.%2.%3.%4.%5."/>
      <w:lvlJc w:val="left"/>
      <w:pPr>
        <w:ind w:left="902" w:hanging="453"/>
      </w:pPr>
      <w:rPr>
        <w:rFonts w:ascii="Arial" w:eastAsia="Arial" w:hAnsi="Arial" w:cs="Arial"/>
        <w:b/>
        <w:i w:val="0"/>
        <w:smallCaps w:val="0"/>
        <w:strike w:val="0"/>
        <w:shd w:val="clear" w:color="auto" w:fill="auto"/>
        <w:vertAlign w:val="baseline"/>
      </w:rPr>
    </w:lvl>
    <w:lvl w:ilvl="5">
      <w:start w:val="1"/>
      <w:numFmt w:val="decimal"/>
      <w:lvlText w:val="%1.%2.%3.%4.%5.%6."/>
      <w:lvlJc w:val="left"/>
      <w:pPr>
        <w:ind w:left="1014" w:hanging="453"/>
      </w:pPr>
      <w:rPr>
        <w:rFonts w:ascii="Arial" w:eastAsia="Arial" w:hAnsi="Arial" w:cs="Arial"/>
        <w:b/>
        <w:i w:val="0"/>
        <w:smallCaps w:val="0"/>
        <w:strike w:val="0"/>
        <w:shd w:val="clear" w:color="auto" w:fill="auto"/>
        <w:vertAlign w:val="baseline"/>
      </w:rPr>
    </w:lvl>
    <w:lvl w:ilvl="6">
      <w:start w:val="1"/>
      <w:numFmt w:val="decimal"/>
      <w:lvlText w:val="%1.%2.%3.%4.%5.%6.%7."/>
      <w:lvlJc w:val="left"/>
      <w:pPr>
        <w:ind w:left="1126" w:hanging="454"/>
      </w:pPr>
      <w:rPr>
        <w:rFonts w:ascii="Arial" w:eastAsia="Arial" w:hAnsi="Arial" w:cs="Arial"/>
        <w:b/>
        <w:i w:val="0"/>
        <w:smallCaps w:val="0"/>
        <w:strike w:val="0"/>
        <w:shd w:val="clear" w:color="auto" w:fill="auto"/>
        <w:vertAlign w:val="baseline"/>
      </w:rPr>
    </w:lvl>
    <w:lvl w:ilvl="7">
      <w:start w:val="1"/>
      <w:numFmt w:val="decimal"/>
      <w:lvlText w:val="%1.%2.%3.%4.%5.%6.%7.%8."/>
      <w:lvlJc w:val="left"/>
      <w:pPr>
        <w:ind w:left="1238" w:hanging="454"/>
      </w:pPr>
      <w:rPr>
        <w:rFonts w:ascii="Arial" w:eastAsia="Arial" w:hAnsi="Arial" w:cs="Arial"/>
        <w:b/>
        <w:i w:val="0"/>
        <w:smallCaps w:val="0"/>
        <w:strike w:val="0"/>
        <w:shd w:val="clear" w:color="auto" w:fill="auto"/>
        <w:vertAlign w:val="baseline"/>
      </w:rPr>
    </w:lvl>
    <w:lvl w:ilvl="8">
      <w:start w:val="1"/>
      <w:numFmt w:val="decimal"/>
      <w:lvlText w:val="%1.%2.%3.%4.%5.%6.%7.%8.%9."/>
      <w:lvlJc w:val="left"/>
      <w:pPr>
        <w:ind w:left="1350" w:hanging="454"/>
      </w:pPr>
      <w:rPr>
        <w:rFonts w:ascii="Arial" w:eastAsia="Arial" w:hAnsi="Arial" w:cs="Arial"/>
        <w:b/>
        <w:i w:val="0"/>
        <w:smallCaps w:val="0"/>
        <w:strike w:val="0"/>
        <w:shd w:val="clear" w:color="auto" w:fill="auto"/>
        <w:vertAlign w:val="baseline"/>
      </w:rPr>
    </w:lvl>
  </w:abstractNum>
  <w:abstractNum w:abstractNumId="3" w15:restartNumberingAfterBreak="0">
    <w:nsid w:val="7C1C001D"/>
    <w:multiLevelType w:val="hybridMultilevel"/>
    <w:tmpl w:val="1DFA5BFC"/>
    <w:lvl w:ilvl="0" w:tplc="4DA6448A">
      <w:start w:val="1"/>
      <w:numFmt w:val="lowerLetter"/>
      <w:lvlText w:val="%1)"/>
      <w:lvlJc w:val="left"/>
      <w:pPr>
        <w:ind w:left="192" w:hanging="236"/>
      </w:pPr>
      <w:rPr>
        <w:rFonts w:ascii="Arial MT" w:eastAsia="Arial MT" w:hAnsi="Arial MT" w:cs="Arial MT" w:hint="default"/>
        <w:spacing w:val="0"/>
        <w:w w:val="95"/>
        <w:sz w:val="20"/>
        <w:szCs w:val="20"/>
        <w:lang w:val="pt-PT" w:eastAsia="en-US" w:bidi="ar-SA"/>
      </w:rPr>
    </w:lvl>
    <w:lvl w:ilvl="1" w:tplc="BB624DC2">
      <w:numFmt w:val="bullet"/>
      <w:lvlText w:val="•"/>
      <w:lvlJc w:val="left"/>
      <w:pPr>
        <w:ind w:left="1177" w:hanging="236"/>
      </w:pPr>
      <w:rPr>
        <w:rFonts w:hint="default"/>
        <w:lang w:val="pt-PT" w:eastAsia="en-US" w:bidi="ar-SA"/>
      </w:rPr>
    </w:lvl>
    <w:lvl w:ilvl="2" w:tplc="68D63102">
      <w:numFmt w:val="bullet"/>
      <w:lvlText w:val="•"/>
      <w:lvlJc w:val="left"/>
      <w:pPr>
        <w:ind w:left="2154" w:hanging="236"/>
      </w:pPr>
      <w:rPr>
        <w:rFonts w:hint="default"/>
        <w:lang w:val="pt-PT" w:eastAsia="en-US" w:bidi="ar-SA"/>
      </w:rPr>
    </w:lvl>
    <w:lvl w:ilvl="3" w:tplc="6BDA03FC">
      <w:numFmt w:val="bullet"/>
      <w:lvlText w:val="•"/>
      <w:lvlJc w:val="left"/>
      <w:pPr>
        <w:ind w:left="3131" w:hanging="236"/>
      </w:pPr>
      <w:rPr>
        <w:rFonts w:hint="default"/>
        <w:lang w:val="pt-PT" w:eastAsia="en-US" w:bidi="ar-SA"/>
      </w:rPr>
    </w:lvl>
    <w:lvl w:ilvl="4" w:tplc="2932C278">
      <w:numFmt w:val="bullet"/>
      <w:lvlText w:val="•"/>
      <w:lvlJc w:val="left"/>
      <w:pPr>
        <w:ind w:left="4108" w:hanging="236"/>
      </w:pPr>
      <w:rPr>
        <w:rFonts w:hint="default"/>
        <w:lang w:val="pt-PT" w:eastAsia="en-US" w:bidi="ar-SA"/>
      </w:rPr>
    </w:lvl>
    <w:lvl w:ilvl="5" w:tplc="30B0577C">
      <w:numFmt w:val="bullet"/>
      <w:lvlText w:val="•"/>
      <w:lvlJc w:val="left"/>
      <w:pPr>
        <w:ind w:left="5086" w:hanging="236"/>
      </w:pPr>
      <w:rPr>
        <w:rFonts w:hint="default"/>
        <w:lang w:val="pt-PT" w:eastAsia="en-US" w:bidi="ar-SA"/>
      </w:rPr>
    </w:lvl>
    <w:lvl w:ilvl="6" w:tplc="98F69F5C">
      <w:numFmt w:val="bullet"/>
      <w:lvlText w:val="•"/>
      <w:lvlJc w:val="left"/>
      <w:pPr>
        <w:ind w:left="6063" w:hanging="236"/>
      </w:pPr>
      <w:rPr>
        <w:rFonts w:hint="default"/>
        <w:lang w:val="pt-PT" w:eastAsia="en-US" w:bidi="ar-SA"/>
      </w:rPr>
    </w:lvl>
    <w:lvl w:ilvl="7" w:tplc="171284B4">
      <w:numFmt w:val="bullet"/>
      <w:lvlText w:val="•"/>
      <w:lvlJc w:val="left"/>
      <w:pPr>
        <w:ind w:left="7040" w:hanging="236"/>
      </w:pPr>
      <w:rPr>
        <w:rFonts w:hint="default"/>
        <w:lang w:val="pt-PT" w:eastAsia="en-US" w:bidi="ar-SA"/>
      </w:rPr>
    </w:lvl>
    <w:lvl w:ilvl="8" w:tplc="91084A88">
      <w:numFmt w:val="bullet"/>
      <w:lvlText w:val="•"/>
      <w:lvlJc w:val="left"/>
      <w:pPr>
        <w:ind w:left="8017" w:hanging="236"/>
      </w:pPr>
      <w:rPr>
        <w:rFonts w:hint="default"/>
        <w:lang w:val="pt-PT" w:eastAsia="en-US" w:bidi="ar-SA"/>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916"/>
    <w:rsid w:val="00000230"/>
    <w:rsid w:val="0003515B"/>
    <w:rsid w:val="00054E2A"/>
    <w:rsid w:val="00054EF3"/>
    <w:rsid w:val="00065C91"/>
    <w:rsid w:val="000A22A0"/>
    <w:rsid w:val="000D111F"/>
    <w:rsid w:val="001107E5"/>
    <w:rsid w:val="00121200"/>
    <w:rsid w:val="00127B65"/>
    <w:rsid w:val="00147404"/>
    <w:rsid w:val="00173243"/>
    <w:rsid w:val="001934F0"/>
    <w:rsid w:val="001B29D8"/>
    <w:rsid w:val="001C6EA1"/>
    <w:rsid w:val="001D725C"/>
    <w:rsid w:val="001E4ABD"/>
    <w:rsid w:val="001F0E4F"/>
    <w:rsid w:val="0021678E"/>
    <w:rsid w:val="00247191"/>
    <w:rsid w:val="0028400E"/>
    <w:rsid w:val="002A1339"/>
    <w:rsid w:val="002E5553"/>
    <w:rsid w:val="002F2053"/>
    <w:rsid w:val="003513BB"/>
    <w:rsid w:val="003610FB"/>
    <w:rsid w:val="003660FB"/>
    <w:rsid w:val="00367D62"/>
    <w:rsid w:val="0037538F"/>
    <w:rsid w:val="00375BC4"/>
    <w:rsid w:val="00380E6B"/>
    <w:rsid w:val="00383D01"/>
    <w:rsid w:val="00386C91"/>
    <w:rsid w:val="003C7505"/>
    <w:rsid w:val="003E1A7A"/>
    <w:rsid w:val="003E70A1"/>
    <w:rsid w:val="004073A3"/>
    <w:rsid w:val="00421FAA"/>
    <w:rsid w:val="004B1FDE"/>
    <w:rsid w:val="004D2C35"/>
    <w:rsid w:val="004F38D3"/>
    <w:rsid w:val="004F65E5"/>
    <w:rsid w:val="005235B5"/>
    <w:rsid w:val="005417AF"/>
    <w:rsid w:val="005418B6"/>
    <w:rsid w:val="00547F34"/>
    <w:rsid w:val="005606FF"/>
    <w:rsid w:val="005704B4"/>
    <w:rsid w:val="00571927"/>
    <w:rsid w:val="00580F16"/>
    <w:rsid w:val="005C4591"/>
    <w:rsid w:val="005E1297"/>
    <w:rsid w:val="005E3FAD"/>
    <w:rsid w:val="005E64EC"/>
    <w:rsid w:val="005F0EA9"/>
    <w:rsid w:val="00607916"/>
    <w:rsid w:val="0062529E"/>
    <w:rsid w:val="00645013"/>
    <w:rsid w:val="006562EE"/>
    <w:rsid w:val="00657376"/>
    <w:rsid w:val="00665305"/>
    <w:rsid w:val="006B0C4B"/>
    <w:rsid w:val="006B1DAC"/>
    <w:rsid w:val="006C610F"/>
    <w:rsid w:val="006D6528"/>
    <w:rsid w:val="006E41B4"/>
    <w:rsid w:val="006E7D8F"/>
    <w:rsid w:val="00720212"/>
    <w:rsid w:val="00720611"/>
    <w:rsid w:val="00726ADD"/>
    <w:rsid w:val="007B16EC"/>
    <w:rsid w:val="007C44CF"/>
    <w:rsid w:val="007C5925"/>
    <w:rsid w:val="00823886"/>
    <w:rsid w:val="00824D2F"/>
    <w:rsid w:val="00826671"/>
    <w:rsid w:val="0085730D"/>
    <w:rsid w:val="00863A0E"/>
    <w:rsid w:val="00871560"/>
    <w:rsid w:val="00876D1B"/>
    <w:rsid w:val="00896ACD"/>
    <w:rsid w:val="008A4471"/>
    <w:rsid w:val="008B3BC8"/>
    <w:rsid w:val="008C14CB"/>
    <w:rsid w:val="008C5068"/>
    <w:rsid w:val="009371FE"/>
    <w:rsid w:val="00937D90"/>
    <w:rsid w:val="00942680"/>
    <w:rsid w:val="00943D6E"/>
    <w:rsid w:val="009477AB"/>
    <w:rsid w:val="00963964"/>
    <w:rsid w:val="00981509"/>
    <w:rsid w:val="0099227C"/>
    <w:rsid w:val="009B1A70"/>
    <w:rsid w:val="009B5F8B"/>
    <w:rsid w:val="009D72E9"/>
    <w:rsid w:val="009E3A2A"/>
    <w:rsid w:val="009E59C4"/>
    <w:rsid w:val="00A00BCB"/>
    <w:rsid w:val="00A02866"/>
    <w:rsid w:val="00A0508F"/>
    <w:rsid w:val="00A42749"/>
    <w:rsid w:val="00A4484E"/>
    <w:rsid w:val="00A73D01"/>
    <w:rsid w:val="00A76B0F"/>
    <w:rsid w:val="00A95D97"/>
    <w:rsid w:val="00AB4381"/>
    <w:rsid w:val="00AB4756"/>
    <w:rsid w:val="00AC61CF"/>
    <w:rsid w:val="00B220D6"/>
    <w:rsid w:val="00B602E0"/>
    <w:rsid w:val="00B7015E"/>
    <w:rsid w:val="00B77F86"/>
    <w:rsid w:val="00B91929"/>
    <w:rsid w:val="00B959A5"/>
    <w:rsid w:val="00BA6A3E"/>
    <w:rsid w:val="00BB7C45"/>
    <w:rsid w:val="00BC68C4"/>
    <w:rsid w:val="00BC70BD"/>
    <w:rsid w:val="00BD0DAE"/>
    <w:rsid w:val="00BD39DC"/>
    <w:rsid w:val="00BE5F0C"/>
    <w:rsid w:val="00C25662"/>
    <w:rsid w:val="00C65D08"/>
    <w:rsid w:val="00CA3597"/>
    <w:rsid w:val="00D26AF3"/>
    <w:rsid w:val="00D30CB4"/>
    <w:rsid w:val="00D47B42"/>
    <w:rsid w:val="00D668C9"/>
    <w:rsid w:val="00D706ED"/>
    <w:rsid w:val="00D7362B"/>
    <w:rsid w:val="00D74806"/>
    <w:rsid w:val="00D90D27"/>
    <w:rsid w:val="00D9544F"/>
    <w:rsid w:val="00DB18DD"/>
    <w:rsid w:val="00DB594B"/>
    <w:rsid w:val="00DB627D"/>
    <w:rsid w:val="00DD4656"/>
    <w:rsid w:val="00DF3E8E"/>
    <w:rsid w:val="00DF6B12"/>
    <w:rsid w:val="00E060AC"/>
    <w:rsid w:val="00E17549"/>
    <w:rsid w:val="00E30283"/>
    <w:rsid w:val="00E34C7E"/>
    <w:rsid w:val="00E42EE4"/>
    <w:rsid w:val="00E7176C"/>
    <w:rsid w:val="00E7618F"/>
    <w:rsid w:val="00EC3B6D"/>
    <w:rsid w:val="00EC7A9F"/>
    <w:rsid w:val="00EC7C23"/>
    <w:rsid w:val="00F11B4A"/>
    <w:rsid w:val="00F21F5F"/>
    <w:rsid w:val="00F4417E"/>
    <w:rsid w:val="00FA0E2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0E8908"/>
  <w15:docId w15:val="{911FFEB0-06A5-40AD-89FD-82C1635E9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pt-PT"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Fontepargpadro"/>
    <w:uiPriority w:val="99"/>
    <w:unhideWhenUsed/>
    <w:rsid w:val="00065C91"/>
    <w:rPr>
      <w:color w:val="0000FF" w:themeColor="hyperlink"/>
      <w:u w:val="single"/>
    </w:rPr>
  </w:style>
  <w:style w:type="paragraph" w:styleId="Corpodetexto">
    <w:name w:val="Body Text"/>
    <w:basedOn w:val="Normal"/>
    <w:link w:val="CorpodetextoChar"/>
    <w:uiPriority w:val="99"/>
    <w:semiHidden/>
    <w:unhideWhenUsed/>
    <w:rsid w:val="00B220D6"/>
    <w:pPr>
      <w:spacing w:after="120"/>
    </w:pPr>
  </w:style>
  <w:style w:type="character" w:customStyle="1" w:styleId="CorpodetextoChar">
    <w:name w:val="Corpo de texto Char"/>
    <w:basedOn w:val="Fontepargpadro"/>
    <w:link w:val="Corpodetexto"/>
    <w:uiPriority w:val="99"/>
    <w:semiHidden/>
    <w:rsid w:val="00B220D6"/>
  </w:style>
  <w:style w:type="table" w:styleId="Tabelacomgrade">
    <w:name w:val="Table Grid"/>
    <w:basedOn w:val="Tabelanormal"/>
    <w:uiPriority w:val="39"/>
    <w:rsid w:val="00BE5F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547F34"/>
    <w:pPr>
      <w:tabs>
        <w:tab w:val="center" w:pos="4252"/>
        <w:tab w:val="right" w:pos="8504"/>
      </w:tabs>
    </w:pPr>
  </w:style>
  <w:style w:type="character" w:customStyle="1" w:styleId="CabealhoChar">
    <w:name w:val="Cabeçalho Char"/>
    <w:basedOn w:val="Fontepargpadro"/>
    <w:link w:val="Cabealho"/>
    <w:uiPriority w:val="99"/>
    <w:rsid w:val="00547F34"/>
  </w:style>
  <w:style w:type="paragraph" w:styleId="Rodap">
    <w:name w:val="footer"/>
    <w:basedOn w:val="Normal"/>
    <w:link w:val="RodapChar"/>
    <w:uiPriority w:val="99"/>
    <w:unhideWhenUsed/>
    <w:rsid w:val="00547F34"/>
    <w:pPr>
      <w:tabs>
        <w:tab w:val="center" w:pos="4252"/>
        <w:tab w:val="right" w:pos="8504"/>
      </w:tabs>
    </w:pPr>
  </w:style>
  <w:style w:type="character" w:customStyle="1" w:styleId="RodapChar">
    <w:name w:val="Rodapé Char"/>
    <w:basedOn w:val="Fontepargpadro"/>
    <w:link w:val="Rodap"/>
    <w:uiPriority w:val="99"/>
    <w:rsid w:val="00547F34"/>
  </w:style>
  <w:style w:type="paragraph" w:styleId="PargrafodaLista">
    <w:name w:val="List Paragraph"/>
    <w:basedOn w:val="Normal"/>
    <w:uiPriority w:val="34"/>
    <w:qFormat/>
    <w:rsid w:val="00DF6B12"/>
    <w:pPr>
      <w:ind w:left="720"/>
      <w:contextualSpacing/>
    </w:pPr>
  </w:style>
  <w:style w:type="character" w:styleId="TextodoEspaoReservado">
    <w:name w:val="Placeholder Text"/>
    <w:basedOn w:val="Fontepargpadro"/>
    <w:uiPriority w:val="99"/>
    <w:semiHidden/>
    <w:rsid w:val="00B602E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883679">
      <w:bodyDiv w:val="1"/>
      <w:marLeft w:val="0"/>
      <w:marRight w:val="0"/>
      <w:marTop w:val="0"/>
      <w:marBottom w:val="0"/>
      <w:divBdr>
        <w:top w:val="none" w:sz="0" w:space="0" w:color="auto"/>
        <w:left w:val="none" w:sz="0" w:space="0" w:color="auto"/>
        <w:bottom w:val="none" w:sz="0" w:space="0" w:color="auto"/>
        <w:right w:val="none" w:sz="0" w:space="0" w:color="auto"/>
      </w:divBdr>
    </w:div>
    <w:div w:id="231821255">
      <w:bodyDiv w:val="1"/>
      <w:marLeft w:val="0"/>
      <w:marRight w:val="0"/>
      <w:marTop w:val="0"/>
      <w:marBottom w:val="0"/>
      <w:divBdr>
        <w:top w:val="none" w:sz="0" w:space="0" w:color="auto"/>
        <w:left w:val="none" w:sz="0" w:space="0" w:color="auto"/>
        <w:bottom w:val="none" w:sz="0" w:space="0" w:color="auto"/>
        <w:right w:val="none" w:sz="0" w:space="0" w:color="auto"/>
      </w:divBdr>
    </w:div>
    <w:div w:id="433984301">
      <w:bodyDiv w:val="1"/>
      <w:marLeft w:val="0"/>
      <w:marRight w:val="0"/>
      <w:marTop w:val="0"/>
      <w:marBottom w:val="0"/>
      <w:divBdr>
        <w:top w:val="none" w:sz="0" w:space="0" w:color="auto"/>
        <w:left w:val="none" w:sz="0" w:space="0" w:color="auto"/>
        <w:bottom w:val="none" w:sz="0" w:space="0" w:color="auto"/>
        <w:right w:val="none" w:sz="0" w:space="0" w:color="auto"/>
      </w:divBdr>
    </w:div>
    <w:div w:id="911084415">
      <w:bodyDiv w:val="1"/>
      <w:marLeft w:val="0"/>
      <w:marRight w:val="0"/>
      <w:marTop w:val="0"/>
      <w:marBottom w:val="0"/>
      <w:divBdr>
        <w:top w:val="none" w:sz="0" w:space="0" w:color="auto"/>
        <w:left w:val="none" w:sz="0" w:space="0" w:color="auto"/>
        <w:bottom w:val="none" w:sz="0" w:space="0" w:color="auto"/>
        <w:right w:val="none" w:sz="0" w:space="0" w:color="auto"/>
      </w:divBdr>
    </w:div>
    <w:div w:id="987130296">
      <w:bodyDiv w:val="1"/>
      <w:marLeft w:val="0"/>
      <w:marRight w:val="0"/>
      <w:marTop w:val="0"/>
      <w:marBottom w:val="0"/>
      <w:divBdr>
        <w:top w:val="none" w:sz="0" w:space="0" w:color="auto"/>
        <w:left w:val="none" w:sz="0" w:space="0" w:color="auto"/>
        <w:bottom w:val="none" w:sz="0" w:space="0" w:color="auto"/>
        <w:right w:val="none" w:sz="0" w:space="0" w:color="auto"/>
      </w:divBdr>
    </w:div>
    <w:div w:id="13947372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6.jpg"/></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1510</Words>
  <Characters>8157</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GISLAINE</cp:lastModifiedBy>
  <cp:revision>6</cp:revision>
  <dcterms:created xsi:type="dcterms:W3CDTF">2021-10-17T19:07:00Z</dcterms:created>
  <dcterms:modified xsi:type="dcterms:W3CDTF">2021-10-17T20:29:00Z</dcterms:modified>
</cp:coreProperties>
</file>