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7EAA1" w14:textId="6A3EE5BF" w:rsidR="00607916" w:rsidRPr="006E175A" w:rsidRDefault="003D5E8F" w:rsidP="00E71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Qualidade </w:t>
      </w:r>
      <w:r w:rsidR="00672E9C">
        <w:rPr>
          <w:rFonts w:ascii="Helvetica" w:eastAsia="Helvetica Neue" w:hAnsi="Helvetica" w:cs="Helvetica Neue"/>
          <w:b/>
          <w:color w:val="000000"/>
          <w:sz w:val="18"/>
          <w:szCs w:val="18"/>
        </w:rPr>
        <w:t>de mudas de maracujazeiro-</w:t>
      </w:r>
      <w:r w:rsidR="00E7176C" w:rsidRPr="006E175A">
        <w:rPr>
          <w:rFonts w:ascii="Helvetica" w:eastAsia="Helvetica Neue" w:hAnsi="Helvetica" w:cs="Helvetica Neue"/>
          <w:b/>
          <w:color w:val="000000"/>
          <w:sz w:val="18"/>
          <w:szCs w:val="18"/>
        </w:rPr>
        <w:t>amarelo produzidas em substratos à base de biocarvão</w:t>
      </w:r>
    </w:p>
    <w:p w14:paraId="7DB99FF9" w14:textId="201E525E" w:rsidR="006E175A" w:rsidRPr="006E175A" w:rsidRDefault="006E175A" w:rsidP="00E71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color w:val="000000"/>
          <w:sz w:val="18"/>
          <w:szCs w:val="18"/>
        </w:rPr>
      </w:pPr>
    </w:p>
    <w:p w14:paraId="464AA190" w14:textId="55DB3186" w:rsidR="006E175A" w:rsidRPr="006E175A" w:rsidRDefault="006E175A" w:rsidP="00E717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>GISLAINE DOS S. NASCIMENTO, GLÊYSLA HÉVILLA D. MOREIRA, NOATAN DOS S. AZEVEDO, JOSÉ LUCÍNIO DE O. FREIRE</w:t>
      </w:r>
    </w:p>
    <w:p w14:paraId="0150E21B" w14:textId="77777777" w:rsidR="00054E2A" w:rsidRPr="006E175A" w:rsidRDefault="00054E2A" w:rsidP="00127B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141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16FEE174" w14:textId="77BD8451" w:rsidR="00607916" w:rsidRPr="006E175A" w:rsidRDefault="00726ADD" w:rsidP="000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</w:pPr>
      <w:r w:rsidRPr="006E175A">
        <w:rPr>
          <w:rFonts w:ascii="Helvetica" w:eastAsia="Helvetica Neue" w:hAnsi="Helvetica" w:cs="Helvetica Neue"/>
          <w:b/>
          <w:color w:val="000000"/>
          <w:sz w:val="16"/>
          <w:szCs w:val="16"/>
          <w:lang w:val="pt-BR"/>
        </w:rPr>
        <w:t xml:space="preserve">E-mails: </w:t>
      </w:r>
      <w:r w:rsidR="006E175A" w:rsidRPr="006E175A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 xml:space="preserve">gislaynesantos30@gmail.com, gleyslahevilla@gmail.com, </w:t>
      </w:r>
      <w:r w:rsidR="006E175A" w:rsidRPr="006E175A">
        <w:rPr>
          <w:rFonts w:ascii="Helvetica" w:eastAsia="Helvetica Neue" w:hAnsi="Helvetica" w:cs="Helvetica Neue"/>
          <w:color w:val="000000"/>
          <w:sz w:val="16"/>
          <w:szCs w:val="16"/>
        </w:rPr>
        <w:t>noatan.santos@academico.ifpb.edu.br,</w:t>
      </w:r>
      <w:r w:rsidR="006E175A" w:rsidRPr="006E175A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 xml:space="preserve"> prof.lucinio@gmail.com</w:t>
      </w:r>
    </w:p>
    <w:p w14:paraId="4B1BE918" w14:textId="41667B75" w:rsidR="00D26AF3" w:rsidRPr="006E175A" w:rsidRDefault="006E175A" w:rsidP="000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  <w:r>
        <w:rPr>
          <w:rFonts w:ascii="Helvetica" w:eastAsia="Helvetica Neue" w:hAnsi="Helvetica" w:cs="Helvetica Neue"/>
          <w:b/>
          <w:color w:val="000000"/>
          <w:sz w:val="16"/>
          <w:szCs w:val="16"/>
        </w:rPr>
        <w:t xml:space="preserve">Área de conhecimento </w:t>
      </w:r>
      <w:r w:rsidR="00726ADD" w:rsidRPr="006E175A">
        <w:rPr>
          <w:rFonts w:ascii="Helvetica" w:eastAsia="Helvetica Neue" w:hAnsi="Helvetica" w:cs="Helvetica Neue"/>
          <w:b/>
          <w:color w:val="000000"/>
          <w:sz w:val="16"/>
          <w:szCs w:val="16"/>
        </w:rPr>
        <w:t>(Tabela CNPq)</w:t>
      </w:r>
      <w:r w:rsidR="00726ADD" w:rsidRPr="006E175A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3A0F01" w:rsidRPr="006E175A">
        <w:rPr>
          <w:rFonts w:ascii="Helvetica" w:eastAsia="Helvetica Neue" w:hAnsi="Helvetica" w:cs="Helvetica Neue"/>
          <w:color w:val="000000"/>
          <w:sz w:val="16"/>
          <w:szCs w:val="16"/>
        </w:rPr>
        <w:t xml:space="preserve">5.01.03.04-0 </w:t>
      </w:r>
      <w:r w:rsidR="00D26AF3" w:rsidRPr="006E175A">
        <w:rPr>
          <w:rFonts w:ascii="Helvetica" w:eastAsia="Helvetica Neue" w:hAnsi="Helvetica" w:cs="Helvetica Neue"/>
          <w:color w:val="000000"/>
          <w:sz w:val="16"/>
          <w:szCs w:val="16"/>
        </w:rPr>
        <w:t>Ciências Agrárias.</w:t>
      </w:r>
    </w:p>
    <w:p w14:paraId="08CA2DC7" w14:textId="1C01C3C4" w:rsidR="00607916" w:rsidRPr="006E175A" w:rsidRDefault="00726ADD" w:rsidP="000D11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6E175A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6E175A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="00DB627D" w:rsidRPr="006E175A">
        <w:rPr>
          <w:rFonts w:ascii="Helvetica" w:eastAsia="Helvetica Neue" w:hAnsi="Helvetica" w:cs="Helvetica Neue"/>
          <w:i/>
          <w:color w:val="000000"/>
          <w:sz w:val="16"/>
          <w:szCs w:val="16"/>
        </w:rPr>
        <w:t xml:space="preserve">Passiflora </w:t>
      </w:r>
      <w:r w:rsidR="00E7176C" w:rsidRPr="006E175A">
        <w:rPr>
          <w:rFonts w:ascii="Helvetica" w:eastAsia="Helvetica Neue" w:hAnsi="Helvetica" w:cs="Helvetica Neue"/>
          <w:color w:val="000000"/>
          <w:sz w:val="16"/>
          <w:szCs w:val="16"/>
        </w:rPr>
        <w:t>spp</w:t>
      </w:r>
      <w:r w:rsidR="00D26AF3" w:rsidRPr="006E175A">
        <w:rPr>
          <w:rFonts w:ascii="Helvetica" w:eastAsia="Helvetica Neue" w:hAnsi="Helvetica" w:cs="Helvetica Neue"/>
          <w:color w:val="000000"/>
          <w:sz w:val="16"/>
          <w:szCs w:val="16"/>
        </w:rPr>
        <w:t>;</w:t>
      </w:r>
      <w:r w:rsidR="00E7176C" w:rsidRPr="006E175A">
        <w:rPr>
          <w:rFonts w:ascii="Helvetica" w:eastAsia="Helvetica Neue" w:hAnsi="Helvetica" w:cs="Helvetica Neue"/>
          <w:color w:val="000000"/>
          <w:sz w:val="16"/>
          <w:szCs w:val="16"/>
        </w:rPr>
        <w:t xml:space="preserve"> Produção de mudas;</w:t>
      </w:r>
      <w:r w:rsidR="003A0F01" w:rsidRPr="006E175A">
        <w:rPr>
          <w:rFonts w:ascii="Helvetica" w:eastAsia="Helvetica Neue" w:hAnsi="Helvetica" w:cs="Helvetica Neue"/>
          <w:color w:val="000000"/>
          <w:sz w:val="16"/>
          <w:szCs w:val="16"/>
        </w:rPr>
        <w:t xml:space="preserve"> Substrato alternativo.  </w:t>
      </w:r>
    </w:p>
    <w:p w14:paraId="4F4AE43D" w14:textId="77777777" w:rsidR="00607916" w:rsidRPr="006E175A" w:rsidRDefault="00607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0722D3CD" w14:textId="77777777" w:rsidR="00607916" w:rsidRPr="006E175A" w:rsidRDefault="00726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b/>
          <w:color w:val="000000"/>
          <w:sz w:val="18"/>
          <w:szCs w:val="18"/>
        </w:rPr>
        <w:t>Introdução</w:t>
      </w:r>
    </w:p>
    <w:p w14:paraId="1DCD55B1" w14:textId="5D1F6BDF" w:rsidR="000C3BF0" w:rsidRPr="006E175A" w:rsidRDefault="000C3BF0" w:rsidP="000C3B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425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>O maracujazeiro-amarelo (</w:t>
      </w:r>
      <w:r w:rsidRPr="006E175A">
        <w:rPr>
          <w:rFonts w:ascii="Helvetica" w:eastAsia="Helvetica Neue" w:hAnsi="Helvetica" w:cs="Helvetica Neue"/>
          <w:i/>
          <w:color w:val="000000"/>
          <w:sz w:val="18"/>
          <w:szCs w:val="18"/>
        </w:rPr>
        <w:t>Passiflora edulis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Sims.f. </w:t>
      </w:r>
      <w:r w:rsidRPr="006E175A">
        <w:rPr>
          <w:rFonts w:ascii="Helvetica" w:eastAsia="Helvetica Neue" w:hAnsi="Helvetica" w:cs="Helvetica Neue"/>
          <w:i/>
          <w:iCs/>
          <w:color w:val="000000"/>
          <w:sz w:val="18"/>
          <w:szCs w:val="18"/>
        </w:rPr>
        <w:t>flavicarpa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Deg.) é uma das mais importantes culturas agrícolas do Seridó e Curimataú paraibanos. A despeito disso, os produtores de maracujá dessas microrregiões ainda enfrentam entraves quanto à maximização dos seus sistemas produtivos, dentre eles a ausência de um substrato padrão que possibilite a oferta de mudas de alta qualidade. E isto parece ser um fator limitante, tendo em vista que a muda é um dos insumos que mais afeta o sucesso dos empreendimentos agrícolas da cadeia frutícola.</w:t>
      </w:r>
    </w:p>
    <w:p w14:paraId="5234E277" w14:textId="162605CF" w:rsidR="000C3BF0" w:rsidRPr="006E175A" w:rsidRDefault="000C3BF0" w:rsidP="000C3B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425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Vários materiais podem ser utilizados na confecção de substratos para produção de mudas, porém, tem crescido cada vez mais a busca por produtos substitutos a insumos sintéticos, sobretudo o aproveitamento de resíduos, contribuindo para a redução de problemas ambientais gerados pelo descarte dos mesmos. Dentre 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>esses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resíduos</w:t>
      </w:r>
      <w:r w:rsidR="003D5E8F" w:rsidRPr="006E175A">
        <w:rPr>
          <w:rFonts w:ascii="Helvetica" w:eastAsia="Helvetica Neue" w:hAnsi="Helvetica" w:cs="Helvetica Neue"/>
          <w:color w:val="000000"/>
          <w:sz w:val="18"/>
          <w:szCs w:val="18"/>
        </w:rPr>
        <w:t>,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é possível destacar o biocarvão como sendo um material de potencial reconhecido para a </w:t>
      </w:r>
      <w:r w:rsidR="003D5E8F" w:rsidRPr="006E175A">
        <w:rPr>
          <w:rFonts w:ascii="Helvetica" w:eastAsia="Helvetica Neue" w:hAnsi="Helvetica" w:cs="Helvetica Neue"/>
          <w:color w:val="000000"/>
          <w:sz w:val="18"/>
          <w:szCs w:val="18"/>
        </w:rPr>
        <w:t>c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onfecção de substratos alternativos. 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>O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biocarvão foi utilizado como componente de substratos na propagação de espécies 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como alface (PETTER; MADARI, 2012), beterraba (LIMA </w:t>
      </w:r>
      <w:r w:rsidR="002321E2" w:rsidRPr="00FD6959">
        <w:rPr>
          <w:rFonts w:ascii="Helvetica" w:eastAsia="Helvetica Neue" w:hAnsi="Helvetica" w:cs="Helvetica Neue"/>
          <w:i/>
          <w:color w:val="000000"/>
          <w:sz w:val="18"/>
          <w:szCs w:val="18"/>
        </w:rPr>
        <w:t>et al</w:t>
      </w:r>
      <w:r w:rsidR="00FD6959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2013) </w:t>
      </w:r>
      <w:r w:rsidR="00FD6959">
        <w:rPr>
          <w:rFonts w:ascii="Helvetica" w:eastAsia="Helvetica Neue" w:hAnsi="Helvetica" w:cs="Helvetica Neue"/>
          <w:color w:val="000000"/>
          <w:sz w:val="18"/>
          <w:szCs w:val="18"/>
        </w:rPr>
        <w:t xml:space="preserve">e maracujazeiro (REZENDE </w:t>
      </w:r>
      <w:r w:rsidR="00FD6959" w:rsidRPr="00FD6959">
        <w:rPr>
          <w:rFonts w:ascii="Helvetica" w:eastAsia="Helvetica Neue" w:hAnsi="Helvetica" w:cs="Helvetica Neue"/>
          <w:i/>
          <w:color w:val="000000"/>
          <w:sz w:val="18"/>
          <w:szCs w:val="18"/>
        </w:rPr>
        <w:t>et al.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2015). Contudo, apesar desses estudos, ainda há necessidade de mais aprofundamentos na área, principalmente se levado em consideração a qualidade de mudas frutíferas, a exemplo do maracujazeiro-amarelo</w:t>
      </w:r>
    </w:p>
    <w:p w14:paraId="589DA991" w14:textId="2F14389C" w:rsidR="00A76B0F" w:rsidRPr="006E175A" w:rsidRDefault="006562EE" w:rsidP="00A76B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2" w:firstLine="425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>Diante disso</w:t>
      </w:r>
      <w:r w:rsidR="00A76B0F" w:rsidRPr="006E175A">
        <w:rPr>
          <w:rFonts w:ascii="Helvetica" w:eastAsia="Helvetica Neue" w:hAnsi="Helvetica" w:cs="Helvetica Neue"/>
          <w:color w:val="000000"/>
          <w:sz w:val="18"/>
          <w:szCs w:val="18"/>
        </w:rPr>
        <w:t>, objetivou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>-se</w:t>
      </w:r>
      <w:r w:rsidR="00A76B0F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avaliar 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>o índice de qualidade</w:t>
      </w:r>
      <w:r w:rsidR="00A76B0F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mudas 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(IQD) </w:t>
      </w:r>
      <w:r w:rsidR="00A76B0F" w:rsidRPr="006E175A">
        <w:rPr>
          <w:rFonts w:ascii="Helvetica" w:eastAsia="Helvetica Neue" w:hAnsi="Helvetica" w:cs="Helvetica Neue"/>
          <w:color w:val="000000"/>
          <w:sz w:val="18"/>
          <w:szCs w:val="18"/>
        </w:rPr>
        <w:t>de maracujazeiro-amarelo produzidas em substratos com diferentes proporções de biocarvão.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</w:p>
    <w:p w14:paraId="29CF5C40" w14:textId="1E9CBB9D" w:rsidR="00607916" w:rsidRPr="006E175A" w:rsidRDefault="00726ADD" w:rsidP="00E7176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b/>
          <w:color w:val="000000"/>
          <w:sz w:val="18"/>
          <w:szCs w:val="18"/>
        </w:rPr>
        <w:t>Materia</w:t>
      </w:r>
      <w:r w:rsidR="00C65D08" w:rsidRPr="006E175A">
        <w:rPr>
          <w:rFonts w:ascii="Helvetica" w:eastAsia="Helvetica Neue" w:hAnsi="Helvetica" w:cs="Helvetica Neue"/>
          <w:b/>
          <w:color w:val="000000"/>
          <w:sz w:val="18"/>
          <w:szCs w:val="18"/>
        </w:rPr>
        <w:t>l</w:t>
      </w:r>
      <w:r w:rsidRPr="006E175A">
        <w:rPr>
          <w:rFonts w:ascii="Helvetica" w:eastAsia="Helvetica Neue" w:hAnsi="Helvetica" w:cs="Helvetica Neue"/>
          <w:b/>
          <w:color w:val="000000"/>
          <w:sz w:val="18"/>
          <w:szCs w:val="18"/>
        </w:rPr>
        <w:t xml:space="preserve"> e Métodos</w:t>
      </w:r>
    </w:p>
    <w:p w14:paraId="47F23743" w14:textId="4DD57E11" w:rsidR="007C054A" w:rsidRPr="006E175A" w:rsidRDefault="003D5E8F" w:rsidP="00FD69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</w:t>
      </w:r>
      <w:r w:rsidR="007C054A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experimento foi 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conduzido </w:t>
      </w:r>
      <w:r w:rsidR="007C054A" w:rsidRPr="006E175A">
        <w:rPr>
          <w:rFonts w:ascii="Helvetica" w:eastAsia="Helvetica Neue" w:hAnsi="Helvetica" w:cs="Helvetica Neue"/>
          <w:color w:val="000000"/>
          <w:sz w:val="18"/>
          <w:szCs w:val="18"/>
        </w:rPr>
        <w:t>em viveiro telado, com sombrites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nas laterias e cobertura superior,</w:t>
      </w:r>
      <w:r w:rsidR="007C054A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com 50,0% de luminosidade, no Instituto Federal da Paraíba, campus Picuí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>. O</w:t>
      </w:r>
      <w:r w:rsidR="007C054A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delineamento 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utilizado foi </w:t>
      </w:r>
      <w:r w:rsidR="007C054A" w:rsidRPr="006E175A">
        <w:rPr>
          <w:rFonts w:ascii="Helvetica" w:eastAsia="Helvetica Neue" w:hAnsi="Helvetica" w:cs="Helvetica Neue"/>
          <w:color w:val="000000"/>
          <w:sz w:val="18"/>
          <w:szCs w:val="18"/>
        </w:rPr>
        <w:t>em blocos casua</w:t>
      </w:r>
      <w:r w:rsidR="00FD6959">
        <w:rPr>
          <w:rFonts w:ascii="Helvetica" w:eastAsia="Helvetica Neue" w:hAnsi="Helvetica" w:cs="Helvetica Neue"/>
          <w:color w:val="000000"/>
          <w:sz w:val="18"/>
          <w:szCs w:val="18"/>
        </w:rPr>
        <w:t>lizados, com cinco tratamentos,</w:t>
      </w:r>
      <w:r w:rsidR="007C054A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correspondentes a diferentes proporções de biocarvão no substrato (0, 25, 50, 75 e 100%)</w:t>
      </w:r>
      <w:r w:rsidR="00FD6959">
        <w:rPr>
          <w:rFonts w:ascii="Helvetica" w:eastAsia="Helvetica Neue" w:hAnsi="Helvetica" w:cs="Helvetica Neue"/>
          <w:color w:val="000000"/>
          <w:sz w:val="18"/>
          <w:szCs w:val="18"/>
        </w:rPr>
        <w:t>, e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7C054A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doze repetições. </w:t>
      </w:r>
    </w:p>
    <w:p w14:paraId="323ED4FD" w14:textId="19351DC2" w:rsidR="007C054A" w:rsidRPr="006E175A" w:rsidRDefault="007C054A" w:rsidP="007C0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Para a produção dos substratos foram adicionadas quantidades de biocarvão, referentes às proporções em estudo, a um substrato-base constituído pela mistura de um Neossolo Regolítico distrófico, coletado na camada de até 0,2 m, e esterco bovino curtido na proporção 3:1 (v/v). O </w:t>
      </w:r>
      <w:r w:rsidR="003D5E8F" w:rsidRPr="006E175A">
        <w:rPr>
          <w:rFonts w:ascii="Helvetica" w:eastAsia="Helvetica Neue" w:hAnsi="Helvetica" w:cs="Helvetica Neue"/>
          <w:color w:val="000000"/>
          <w:sz w:val="18"/>
          <w:szCs w:val="18"/>
        </w:rPr>
        <w:t>fino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do carvão vegetal foi </w:t>
      </w:r>
      <w:r w:rsidR="00251C70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coletado 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em fornos de carvoaria no município de Picuí, PB, </w:t>
      </w:r>
      <w:r w:rsidR="00251C70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sendo, posteriormente, 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passado </w:t>
      </w:r>
      <w:r w:rsidR="00251C70" w:rsidRPr="006E175A">
        <w:rPr>
          <w:rFonts w:ascii="Helvetica" w:eastAsia="Helvetica Neue" w:hAnsi="Helvetica" w:cs="Helvetica Neue"/>
          <w:color w:val="000000"/>
          <w:sz w:val="18"/>
          <w:szCs w:val="18"/>
        </w:rPr>
        <w:t>em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peneira</w:t>
      </w:r>
      <w:r w:rsidR="00251C70" w:rsidRPr="006E175A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2,0 mm de abertura de malha. Antes da semeadura, os substratos foram umedecidos até atingirem a capacidade de vaso, sendo então semeadas duas sementes de maracujazeiro-amarelo Guinezinho em recipientes plásticos (tubetes) com capacidade para armazenar 280 cm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3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de solo. O desbaste foi realizado logo após a emergência das plântulas com o intuito de deixar apenas a mais vigorosa. </w:t>
      </w:r>
    </w:p>
    <w:p w14:paraId="5E11D4D6" w14:textId="566BF447" w:rsidR="006D6528" w:rsidRPr="006E175A" w:rsidRDefault="007C054A" w:rsidP="007C05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período experimental foi de 60 dias após a emergência. A </w:t>
      </w:r>
      <w:r w:rsidR="00251C70" w:rsidRPr="006E175A">
        <w:rPr>
          <w:rFonts w:ascii="Helvetica" w:eastAsia="Helvetica Neue" w:hAnsi="Helvetica" w:cs="Helvetica Neue"/>
          <w:color w:val="000000"/>
          <w:sz w:val="18"/>
          <w:szCs w:val="18"/>
        </w:rPr>
        <w:t>mudas foram irrigadas com água de baixa salinidade, isto é, de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condutividade elétrica de 0,1 dS m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</w:p>
    <w:p w14:paraId="75D06D8C" w14:textId="7948F6CD" w:rsidR="00360671" w:rsidRPr="006E175A" w:rsidRDefault="00B602E0" w:rsidP="00360671">
      <w:pPr>
        <w:pBdr>
          <w:top w:val="nil"/>
          <w:left w:val="nil"/>
          <w:bottom w:val="nil"/>
          <w:right w:val="nil"/>
          <w:between w:val="nil"/>
        </w:pBdr>
        <w:tabs>
          <w:tab w:val="left" w:pos="2855"/>
        </w:tabs>
        <w:spacing w:line="276" w:lineRule="auto"/>
        <w:ind w:left="192" w:right="141" w:firstLine="23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>Foram analisadas</w:t>
      </w:r>
      <w:r w:rsidR="001C6EA1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>relação altura/diâmetro caulinar</w:t>
      </w:r>
      <w:r w:rsidR="00360671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(RAL/DC)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, </w:t>
      </w:r>
      <w:r w:rsidR="00163558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massa seca </w:t>
      </w:r>
      <w:r w:rsidR="00B02573" w:rsidRPr="006E175A">
        <w:rPr>
          <w:rFonts w:ascii="Helvetica" w:eastAsia="Helvetica Neue" w:hAnsi="Helvetica" w:cs="Helvetica Neue"/>
          <w:color w:val="000000"/>
          <w:sz w:val="18"/>
          <w:szCs w:val="18"/>
        </w:rPr>
        <w:t>foliar</w:t>
      </w:r>
      <w:r w:rsidR="00360671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(MSPA)</w:t>
      </w:r>
      <w:r w:rsidR="00163558" w:rsidRPr="006E175A">
        <w:rPr>
          <w:rFonts w:ascii="Helvetica" w:eastAsia="Helvetica Neue" w:hAnsi="Helvetica" w:cs="Helvetica Neue"/>
          <w:color w:val="000000"/>
          <w:sz w:val="18"/>
          <w:szCs w:val="18"/>
        </w:rPr>
        <w:t>,</w:t>
      </w:r>
      <w:r w:rsidR="007C054A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BE20B1" w:rsidRPr="006E175A">
        <w:rPr>
          <w:rFonts w:ascii="Helvetica" w:eastAsia="Helvetica Neue" w:hAnsi="Helvetica" w:cs="Helvetica Neue"/>
          <w:color w:val="000000"/>
          <w:sz w:val="18"/>
          <w:szCs w:val="18"/>
        </w:rPr>
        <w:t>massa seca da raiz</w:t>
      </w:r>
      <w:r w:rsidR="00163558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BE20B1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(MSR), massa seca </w:t>
      </w:r>
      <w:r w:rsidR="002321E2" w:rsidRPr="006E175A">
        <w:rPr>
          <w:rFonts w:ascii="Helvetica" w:eastAsia="Helvetica Neue" w:hAnsi="Helvetica" w:cs="Helvetica Neue"/>
          <w:color w:val="000000"/>
          <w:sz w:val="18"/>
          <w:szCs w:val="18"/>
        </w:rPr>
        <w:t>total</w:t>
      </w:r>
      <w:r w:rsidR="00BE20B1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(MST</w:t>
      </w:r>
      <w:r w:rsidR="00360671" w:rsidRPr="006E175A">
        <w:rPr>
          <w:rFonts w:ascii="Helvetica" w:eastAsia="Helvetica Neue" w:hAnsi="Helvetica" w:cs="Helvetica Neue"/>
          <w:color w:val="000000"/>
          <w:sz w:val="18"/>
          <w:szCs w:val="18"/>
        </w:rPr>
        <w:t>)</w:t>
      </w:r>
      <w:r w:rsidR="00163558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 </w:t>
      </w:r>
      <w:r w:rsidR="00463849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o </w:t>
      </w:r>
      <w:r w:rsidR="00163558" w:rsidRPr="006E175A">
        <w:rPr>
          <w:rFonts w:ascii="Helvetica" w:eastAsia="Helvetica Neue" w:hAnsi="Helvetica" w:cs="Helvetica Neue"/>
          <w:color w:val="000000"/>
          <w:sz w:val="18"/>
          <w:szCs w:val="18"/>
        </w:rPr>
        <w:t>IQD. A altura foi mensurada do coleto à projeção da folha central com auxílio de régua graduada, enquanto que o diâmetro do caule foi mensurado à base do coleto, com auxílio de um paquímetro digital</w:t>
      </w:r>
      <w:r w:rsidR="00360671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A RAL/DC foi calculada através da relação entre ambas. As fitomassas secas foram determinadas após </w:t>
      </w:r>
      <w:r w:rsidR="00463849" w:rsidRPr="006E175A">
        <w:rPr>
          <w:rFonts w:ascii="Helvetica" w:eastAsia="Helvetica Neue" w:hAnsi="Helvetica" w:cs="Helvetica Neue"/>
          <w:color w:val="000000"/>
          <w:sz w:val="18"/>
          <w:szCs w:val="18"/>
        </w:rPr>
        <w:t>secagem em estufa de ventilação forçada (65</w:t>
      </w:r>
      <w:r w:rsidR="00463849" w:rsidRPr="00843C54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o</w:t>
      </w:r>
      <w:r w:rsidR="00463849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C por 72 horas) e </w:t>
      </w:r>
      <w:r w:rsidR="00360671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pesagem em balança semianalítica. </w:t>
      </w:r>
      <w:r w:rsidR="00463849" w:rsidRPr="006E175A">
        <w:rPr>
          <w:rFonts w:ascii="Helvetica" w:eastAsia="Helvetica Neue" w:hAnsi="Helvetica" w:cs="Helvetica Neue"/>
          <w:color w:val="000000"/>
          <w:sz w:val="18"/>
          <w:szCs w:val="18"/>
        </w:rPr>
        <w:t>O IQD foi calculado com base na metodologia de Dickson; Leaf e Hosner (1960), conforme disposto na equação 1.</w:t>
      </w:r>
    </w:p>
    <w:p w14:paraId="5E43C997" w14:textId="77777777" w:rsidR="00876D1B" w:rsidRPr="006E175A" w:rsidRDefault="00876D1B" w:rsidP="00463849">
      <w:pPr>
        <w:pBdr>
          <w:top w:val="nil"/>
          <w:left w:val="nil"/>
          <w:bottom w:val="nil"/>
          <w:right w:val="nil"/>
          <w:between w:val="nil"/>
        </w:pBdr>
        <w:tabs>
          <w:tab w:val="left" w:pos="2855"/>
        </w:tabs>
        <w:spacing w:line="276" w:lineRule="auto"/>
        <w:ind w:right="141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14:paraId="5E6EBDDD" w14:textId="2C31DD57" w:rsidR="00876D1B" w:rsidRPr="006E175A" w:rsidRDefault="00463849" w:rsidP="00876D1B">
      <w:pPr>
        <w:pBdr>
          <w:top w:val="nil"/>
          <w:left w:val="nil"/>
          <w:bottom w:val="nil"/>
          <w:right w:val="nil"/>
          <w:between w:val="nil"/>
        </w:pBdr>
        <w:tabs>
          <w:tab w:val="left" w:pos="2855"/>
        </w:tabs>
        <w:spacing w:line="276" w:lineRule="auto"/>
        <w:ind w:left="192" w:right="141"/>
        <w:jc w:val="right"/>
        <w:rPr>
          <w:rFonts w:ascii="Helvetica" w:eastAsia="Helvetica Neue" w:hAnsi="Helvetica" w:cs="Helvetica Neue"/>
          <w:color w:val="000000"/>
          <w:sz w:val="18"/>
          <w:szCs w:val="18"/>
          <w:lang w:val="en-GB"/>
        </w:rPr>
      </w:pPr>
      <w:r w:rsidRPr="006E175A">
        <w:rPr>
          <w:rFonts w:ascii="Helvetica" w:eastAsia="Helvetica Neue" w:hAnsi="Helvetica" w:cs="Helvetica Neue"/>
          <w:i/>
          <w:color w:val="000000"/>
          <w:sz w:val="18"/>
          <w:szCs w:val="18"/>
          <w:lang w:val="en-GB"/>
        </w:rPr>
        <w:t>IQD = FMST x (RAD + PAR)</w:t>
      </w:r>
      <w:r w:rsidRPr="006E175A">
        <w:rPr>
          <w:rFonts w:ascii="Helvetica" w:eastAsia="Helvetica Neue" w:hAnsi="Helvetica" w:cs="Helvetica Neue"/>
          <w:i/>
          <w:color w:val="000000"/>
          <w:sz w:val="18"/>
          <w:szCs w:val="18"/>
          <w:vertAlign w:val="superscript"/>
          <w:lang w:val="en-GB"/>
        </w:rPr>
        <w:t>-1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  <w:lang w:val="en-GB"/>
        </w:rPr>
        <w:t xml:space="preserve">                                                                 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  <w:lang w:val="en-GB"/>
        </w:rPr>
        <w:t xml:space="preserve">                             </w:t>
      </w:r>
      <w:proofErr w:type="gramStart"/>
      <w:r w:rsidRPr="006E175A">
        <w:rPr>
          <w:rFonts w:ascii="Helvetica" w:eastAsia="Helvetica Neue" w:hAnsi="Helvetica" w:cs="Helvetica Neue"/>
          <w:color w:val="000000"/>
          <w:sz w:val="18"/>
          <w:szCs w:val="18"/>
          <w:lang w:val="en-GB"/>
        </w:rPr>
        <w:t xml:space="preserve">  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  <w:lang w:val="en-GB"/>
        </w:rPr>
        <w:t xml:space="preserve"> (</w:t>
      </w:r>
      <w:proofErr w:type="gramEnd"/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  <w:lang w:val="en-GB"/>
        </w:rPr>
        <w:t>1)</w:t>
      </w:r>
    </w:p>
    <w:p w14:paraId="45B5686F" w14:textId="77777777" w:rsidR="00876D1B" w:rsidRPr="006E175A" w:rsidRDefault="00876D1B" w:rsidP="00876D1B">
      <w:pPr>
        <w:pBdr>
          <w:top w:val="nil"/>
          <w:left w:val="nil"/>
          <w:bottom w:val="nil"/>
          <w:right w:val="nil"/>
          <w:between w:val="nil"/>
        </w:pBdr>
        <w:tabs>
          <w:tab w:val="left" w:pos="2855"/>
        </w:tabs>
        <w:spacing w:line="276" w:lineRule="auto"/>
        <w:ind w:left="192" w:right="141"/>
        <w:jc w:val="center"/>
        <w:rPr>
          <w:rFonts w:ascii="Helvetica" w:eastAsia="Helvetica Neue" w:hAnsi="Helvetica" w:cs="Helvetica Neue"/>
          <w:color w:val="000000"/>
          <w:sz w:val="18"/>
          <w:szCs w:val="18"/>
          <w:lang w:val="en-GB"/>
        </w:rPr>
      </w:pPr>
    </w:p>
    <w:p w14:paraId="7182F005" w14:textId="1B986E9F" w:rsidR="0028400E" w:rsidRPr="006E175A" w:rsidRDefault="00876D1B" w:rsidP="00463849">
      <w:pPr>
        <w:pBdr>
          <w:top w:val="nil"/>
          <w:left w:val="nil"/>
          <w:bottom w:val="nil"/>
          <w:right w:val="nil"/>
          <w:between w:val="nil"/>
        </w:pBdr>
        <w:tabs>
          <w:tab w:val="left" w:pos="2855"/>
        </w:tabs>
        <w:spacing w:line="276" w:lineRule="auto"/>
        <w:ind w:left="142" w:right="141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>em que</w:t>
      </w:r>
      <w:r w:rsidR="001C6EA1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: </w:t>
      </w:r>
      <w:r w:rsidR="00463849" w:rsidRPr="006E175A">
        <w:rPr>
          <w:rFonts w:ascii="Helvetica" w:eastAsia="Helvetica Neue" w:hAnsi="Helvetica" w:cs="Helvetica Neue"/>
          <w:color w:val="000000"/>
          <w:sz w:val="18"/>
          <w:szCs w:val="18"/>
        </w:rPr>
        <w:t>IQD = índice de qualidade de Dickson; FMST = fitomassa seca total, expressa em g planta</w:t>
      </w:r>
      <w:r w:rsidR="00463849" w:rsidRPr="006E175A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="00463849" w:rsidRPr="006E175A">
        <w:rPr>
          <w:rFonts w:ascii="Helvetica" w:eastAsia="Helvetica Neue" w:hAnsi="Helvetica" w:cs="Helvetica Neue"/>
          <w:color w:val="000000"/>
          <w:sz w:val="18"/>
          <w:szCs w:val="18"/>
        </w:rPr>
        <w:t>; RAD = relação altura/diâmetro das mudas; PAR = relação da fitomassa seca da parte aérea e fitomassa seca da raiz, expressas em g planta</w:t>
      </w:r>
      <w:r w:rsidR="00463849" w:rsidRPr="006E175A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-1</w:t>
      </w:r>
      <w:r w:rsidR="00463849" w:rsidRPr="006E175A">
        <w:rPr>
          <w:rFonts w:ascii="Helvetica" w:eastAsia="Helvetica Neue" w:hAnsi="Helvetica" w:cs="Helvetica Neue"/>
          <w:color w:val="000000"/>
          <w:sz w:val="18"/>
          <w:szCs w:val="18"/>
        </w:rPr>
        <w:t>.</w:t>
      </w:r>
    </w:p>
    <w:p w14:paraId="16D66193" w14:textId="776FF218" w:rsidR="00607916" w:rsidRPr="006E175A" w:rsidRDefault="00386C91" w:rsidP="000A2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Os dados foram 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submetidos às </w:t>
      </w:r>
      <w:r w:rsidR="00173243" w:rsidRPr="006E175A">
        <w:rPr>
          <w:rFonts w:ascii="Helvetica" w:eastAsia="Helvetica Neue" w:hAnsi="Helvetica" w:cs="Helvetica Neue"/>
          <w:color w:val="000000"/>
          <w:sz w:val="18"/>
          <w:szCs w:val="18"/>
        </w:rPr>
        <w:t>análises de variância e regressõ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</w:rPr>
        <w:t>es lineares</w:t>
      </w:r>
      <w:r w:rsidR="00251C70" w:rsidRPr="006E175A">
        <w:rPr>
          <w:rFonts w:ascii="Helvetica" w:eastAsia="Helvetica Neue" w:hAnsi="Helvetica" w:cs="Helvetica Neue"/>
          <w:color w:val="000000"/>
          <w:sz w:val="18"/>
          <w:szCs w:val="18"/>
        </w:rPr>
        <w:t>,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ou quadráticas, relacionando as variáveis 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</w:rPr>
        <w:lastRenderedPageBreak/>
        <w:t xml:space="preserve">e as proporções de biocarvão </w:t>
      </w:r>
      <w:r w:rsidR="00173243" w:rsidRPr="006E175A">
        <w:rPr>
          <w:rFonts w:ascii="Helvetica" w:eastAsia="Helvetica Neue" w:hAnsi="Helvetica" w:cs="Helvetica Neue"/>
          <w:color w:val="000000"/>
          <w:sz w:val="18"/>
          <w:szCs w:val="18"/>
        </w:rPr>
        <w:t>n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</w:rPr>
        <w:t>o substrato, e processados utilizando o sof</w:t>
      </w:r>
      <w:r w:rsidR="00251C70" w:rsidRPr="006E175A">
        <w:rPr>
          <w:rFonts w:ascii="Helvetica" w:eastAsia="Helvetica Neue" w:hAnsi="Helvetica" w:cs="Helvetica Neue"/>
          <w:color w:val="000000"/>
          <w:sz w:val="18"/>
          <w:szCs w:val="18"/>
        </w:rPr>
        <w:t>tware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estatístico SISVAR 5.6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  <w:vertAlign w:val="superscript"/>
        </w:rPr>
        <w:t>®</w:t>
      </w:r>
      <w:r w:rsidR="00876D1B" w:rsidRPr="006E175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>(FERREIRA, 2011).</w:t>
      </w:r>
    </w:p>
    <w:p w14:paraId="396A0A16" w14:textId="0E0DB670" w:rsidR="00607916" w:rsidRPr="006E175A" w:rsidRDefault="00726A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b/>
          <w:color w:val="000000"/>
          <w:sz w:val="18"/>
          <w:szCs w:val="18"/>
        </w:rPr>
        <w:t>Resultados e Discussão</w:t>
      </w:r>
    </w:p>
    <w:p w14:paraId="3F1CAF38" w14:textId="600846E5" w:rsidR="00463849" w:rsidRPr="006E175A" w:rsidRDefault="00463849" w:rsidP="00B025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142" w:right="142" w:firstLine="28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E175A">
        <w:rPr>
          <w:rFonts w:ascii="Helvetica" w:eastAsia="Helvetica Neue" w:hAnsi="Helvetica" w:cs="Helvetica Neue"/>
          <w:color w:val="000000"/>
          <w:sz w:val="18"/>
          <w:szCs w:val="18"/>
        </w:rPr>
        <w:t>A relação altura e diâmetro caulinar foi influenciada linearmente pelas concentrações de carvão vegetal, com acréscimo de 16,0% para as mudas de maracujazeiro-amarelo produzidas com 100,0% de carvão vegetal em comparação ao tratamento testemunha (0,0% de carvão) (Figura 1), demonstrando o potencial agronômico do insumo sobre os atributos de crescimento de mudas de maracujazeiro-amarelo, podendo ser utilizado dentro dos sistemas de produção. Os valores médios foram aumentados de 4,62 a 5,36.</w:t>
      </w:r>
    </w:p>
    <w:p w14:paraId="53ADB694" w14:textId="226EE570" w:rsidR="00380E6B" w:rsidRPr="006E175A" w:rsidRDefault="00B02573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30F1AE20" wp14:editId="14EEA64F">
            <wp:extent cx="2280285" cy="1347470"/>
            <wp:effectExtent l="0" t="0" r="5715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E4744" w14:textId="025718BD" w:rsidR="000A22A0" w:rsidRDefault="000A22A0" w:rsidP="00251C70">
      <w:pPr>
        <w:widowControl w:val="0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 xml:space="preserve"> Figura 1: </w:t>
      </w:r>
      <w:r w:rsidR="00B02573" w:rsidRPr="006E175A">
        <w:rPr>
          <w:rFonts w:ascii="Helvetica" w:eastAsia="Helvetica Neue" w:hAnsi="Helvetica" w:cs="Helvetica Neue"/>
          <w:sz w:val="18"/>
          <w:szCs w:val="18"/>
        </w:rPr>
        <w:t>Relação altura e diâmetro caulinar de mudas de maracujazeiro-amarelo em função de diferentes percentagens de carvão vegetal no substrato.</w:t>
      </w:r>
    </w:p>
    <w:p w14:paraId="625CB9A3" w14:textId="77777777" w:rsidR="00843C54" w:rsidRPr="006E175A" w:rsidRDefault="00843C54" w:rsidP="00251C70">
      <w:pPr>
        <w:widowControl w:val="0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</w:p>
    <w:p w14:paraId="1637AB0E" w14:textId="41AA5C4E" w:rsidR="00BE20B1" w:rsidRPr="006E175A" w:rsidRDefault="00BE20B1" w:rsidP="00BE20B1">
      <w:pPr>
        <w:widowControl w:val="0"/>
        <w:spacing w:line="288" w:lineRule="auto"/>
        <w:ind w:left="142" w:right="141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>Esse incremento na relação altura/diâmetro caulinar possivelmente esteja relacionado com a maior disponibilidade de água nos substratos proporcionados pelo uso do carvão vegetal. Esses resultados sugerem, que sobre estas condições, as plantas de maracujazeiro-amarelo foram mais estimuladas a crescer verticalmente em relação ao diâmetro caulinar, o que certamente influenciará na antecipação da ida da muda para o campo</w:t>
      </w:r>
      <w:r w:rsidR="00CB2EEB" w:rsidRPr="006E175A">
        <w:rPr>
          <w:rFonts w:ascii="Helvetica" w:eastAsia="Helvetica Neue" w:hAnsi="Helvetica" w:cs="Helvetica Neue"/>
          <w:sz w:val="18"/>
          <w:szCs w:val="18"/>
        </w:rPr>
        <w:t>, isto é, estão mais robustas</w:t>
      </w:r>
      <w:r w:rsidRPr="006E175A">
        <w:rPr>
          <w:rFonts w:ascii="Helvetica" w:eastAsia="Helvetica Neue" w:hAnsi="Helvetica" w:cs="Helvetica Neue"/>
          <w:sz w:val="18"/>
          <w:szCs w:val="18"/>
        </w:rPr>
        <w:t>.</w:t>
      </w:r>
    </w:p>
    <w:p w14:paraId="4B0ADD94" w14:textId="3999EDF7" w:rsidR="00C25662" w:rsidRPr="006E175A" w:rsidRDefault="00B02573" w:rsidP="00B02573">
      <w:pPr>
        <w:widowControl w:val="0"/>
        <w:spacing w:line="288" w:lineRule="auto"/>
        <w:ind w:left="142" w:right="141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>Diferentemente da relação altura/diâmetro caulinar, a massa seca foli</w:t>
      </w:r>
      <w:r w:rsidR="00BE20B1" w:rsidRPr="006E175A">
        <w:rPr>
          <w:rFonts w:ascii="Helvetica" w:eastAsia="Helvetica Neue" w:hAnsi="Helvetica" w:cs="Helvetica Neue"/>
          <w:sz w:val="18"/>
          <w:szCs w:val="18"/>
        </w:rPr>
        <w:t>ar das mudas de maracujazeiro-a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marelo foi </w:t>
      </w:r>
      <w:r w:rsidR="00CB2EEB" w:rsidRPr="006E175A">
        <w:rPr>
          <w:rFonts w:ascii="Helvetica" w:eastAsia="Helvetica Neue" w:hAnsi="Helvetica" w:cs="Helvetica Neue"/>
          <w:sz w:val="18"/>
          <w:szCs w:val="18"/>
        </w:rPr>
        <w:t>influenciada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 negativamente pelo uso exclusivo do biocarvão como fonte de substrato. Os valores médios, conforme a Figura 2, foram reduzidos de 0,63 g planta</w:t>
      </w:r>
      <w:r w:rsidRPr="006E175A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 a 0,10 g planta</w:t>
      </w:r>
      <w:r w:rsidRPr="006E175A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E175A">
        <w:rPr>
          <w:rFonts w:ascii="Helvetica" w:eastAsia="Helvetica Neue" w:hAnsi="Helvetica" w:cs="Helvetica Neue"/>
          <w:sz w:val="18"/>
          <w:szCs w:val="18"/>
        </w:rPr>
        <w:t>, com uma depleção de 84,1% entre o tratamento testemunha e a máxima concentração de carvão testada (100,0%).</w:t>
      </w:r>
    </w:p>
    <w:p w14:paraId="3CB71E07" w14:textId="30E1ED18" w:rsidR="000A22A0" w:rsidRPr="006E175A" w:rsidRDefault="00B02573" w:rsidP="00B02573">
      <w:pPr>
        <w:widowControl w:val="0"/>
        <w:spacing w:line="288" w:lineRule="auto"/>
        <w:ind w:right="141" w:firstLine="567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3B7EEBF6" wp14:editId="551A231B">
            <wp:extent cx="2221186" cy="1436725"/>
            <wp:effectExtent l="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26" cy="1449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3A4BE" w14:textId="1A4A9E27" w:rsidR="00BE20B1" w:rsidRDefault="000A22A0" w:rsidP="00F2532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 xml:space="preserve">Figura 2: </w:t>
      </w:r>
      <w:r w:rsidR="00B02573" w:rsidRPr="006E175A">
        <w:rPr>
          <w:rFonts w:ascii="Helvetica" w:eastAsia="Helvetica Neue" w:hAnsi="Helvetica" w:cs="Helvetica Neue"/>
          <w:sz w:val="18"/>
          <w:szCs w:val="18"/>
        </w:rPr>
        <w:t>Massa seca foliar de mudas de maracujazeiro-amarelo em função de diferentes percentuais de carvão vegetal no substrato.</w:t>
      </w:r>
    </w:p>
    <w:p w14:paraId="3BA1F2EB" w14:textId="77777777" w:rsidR="00843C54" w:rsidRPr="006E175A" w:rsidRDefault="00843C54" w:rsidP="00F2532F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</w:p>
    <w:p w14:paraId="45503A06" w14:textId="4CB820E0" w:rsidR="00F2532F" w:rsidRPr="006E175A" w:rsidRDefault="00F2532F" w:rsidP="00F2532F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 xml:space="preserve">Uma provável explicação para obtenção desses resultados possivelmente esteja relacionada com o </w:t>
      </w:r>
      <w:r w:rsidR="006D1A0A" w:rsidRPr="006E175A">
        <w:rPr>
          <w:rFonts w:ascii="Helvetica" w:eastAsia="Helvetica Neue" w:hAnsi="Helvetica" w:cs="Helvetica Neue"/>
          <w:sz w:val="18"/>
          <w:szCs w:val="18"/>
        </w:rPr>
        <w:t xml:space="preserve">elevado pH da solução 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e do excesso de sais solúveis no meio, acarretando em mudanças no potencial osmótico e desbalanço </w:t>
      </w:r>
      <w:r w:rsidR="006D1A0A" w:rsidRPr="006E175A">
        <w:rPr>
          <w:rFonts w:ascii="Helvetica" w:eastAsia="Helvetica Neue" w:hAnsi="Helvetica" w:cs="Helvetica Neue"/>
          <w:sz w:val="18"/>
          <w:szCs w:val="18"/>
        </w:rPr>
        <w:t xml:space="preserve">nutricional (DIAS; 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BLANCO, 2010). De acordo com afirmações apresentadas por Barros </w:t>
      </w:r>
      <w:r w:rsidRPr="00843C54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 (2019), sob estas condições de estresse, as plantas podem inibir a atividade fotossintética, provocando alterações na atividade enzimática que, consequentemente, afetará a síntese de proteínas, produção de carboidratos e hormônios de crescimento, resultando em diminuição do crescimento e potencial produtivo da cultivar</w:t>
      </w:r>
      <w:r w:rsidR="006D1A0A" w:rsidRPr="006E175A">
        <w:rPr>
          <w:rFonts w:ascii="Helvetica" w:eastAsia="Helvetica Neue" w:hAnsi="Helvetica" w:cs="Helvetica Neue"/>
          <w:sz w:val="18"/>
          <w:szCs w:val="18"/>
        </w:rPr>
        <w:t>.</w:t>
      </w:r>
    </w:p>
    <w:p w14:paraId="15E43130" w14:textId="614AEEC6" w:rsidR="00B02573" w:rsidRPr="006E175A" w:rsidRDefault="00B02573" w:rsidP="00B02573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>Conforme observado na Figura 3, a utilização do biocarvão como componente do substrato não favoreceu o desenvolvimento do sistema radicular de mudas de maracujazeiro-amarelo, sendo observado uma redução da produção de biomassa seca com o incremento dos percentuais de carvão no substrato. Os valores foram reduzidos de 0,44 g planta</w:t>
      </w:r>
      <w:r w:rsidRPr="006E175A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 a 0,07 g planta</w:t>
      </w:r>
      <w:r w:rsidRPr="006E175A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 entre os tratamentos de 0,0</w:t>
      </w:r>
      <w:r w:rsidR="00CB2EEB" w:rsidRPr="006E175A">
        <w:rPr>
          <w:rFonts w:ascii="Helvetica" w:eastAsia="Helvetica Neue" w:hAnsi="Helvetica" w:cs="Helvetica Neue"/>
          <w:sz w:val="18"/>
          <w:szCs w:val="18"/>
          <w:lang w:val="pt-BR"/>
        </w:rPr>
        <w:t>%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 e 100,0% de carvão.</w:t>
      </w:r>
    </w:p>
    <w:p w14:paraId="47D3FDC5" w14:textId="425C7C66" w:rsidR="000A22A0" w:rsidRPr="006E175A" w:rsidRDefault="00B02573" w:rsidP="000A22A0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noProof/>
          <w:sz w:val="18"/>
          <w:szCs w:val="18"/>
          <w:lang w:val="pt-BR"/>
        </w:rPr>
        <w:lastRenderedPageBreak/>
        <w:drawing>
          <wp:inline distT="0" distB="0" distL="0" distR="0" wp14:anchorId="130CE2FC" wp14:editId="363EC9E9">
            <wp:extent cx="2231136" cy="135861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46" cy="1379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3C4B3" w14:textId="4EF0F66A" w:rsidR="000A22A0" w:rsidRDefault="00B02573" w:rsidP="00981509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>Figura 3</w:t>
      </w:r>
      <w:r w:rsidR="000A22A0" w:rsidRPr="006E175A">
        <w:rPr>
          <w:rFonts w:ascii="Helvetica" w:eastAsia="Helvetica Neue" w:hAnsi="Helvetica" w:cs="Helvetica Neue"/>
          <w:sz w:val="18"/>
          <w:szCs w:val="18"/>
        </w:rPr>
        <w:t xml:space="preserve">: </w:t>
      </w:r>
      <w:r w:rsidRPr="006E175A">
        <w:rPr>
          <w:rFonts w:ascii="Helvetica" w:eastAsia="Helvetica Neue" w:hAnsi="Helvetica" w:cs="Helvetica Neue"/>
          <w:sz w:val="18"/>
          <w:szCs w:val="18"/>
        </w:rPr>
        <w:t>Massa seca radicular de mudas de maracujazeiro-amarelo em função de diferentes percentagens de carvão vegetal no substrato.</w:t>
      </w:r>
    </w:p>
    <w:p w14:paraId="0D2A2092" w14:textId="77777777" w:rsidR="00843C54" w:rsidRPr="006E175A" w:rsidRDefault="00843C54" w:rsidP="00981509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</w:p>
    <w:p w14:paraId="1971D75E" w14:textId="679246AD" w:rsidR="006A25B8" w:rsidRPr="006E175A" w:rsidRDefault="006A25B8" w:rsidP="00843C54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 xml:space="preserve">Como consequência do observado nos diferentes órgãos das plantas (Figuras </w:t>
      </w:r>
      <w:r w:rsidR="00F2532F" w:rsidRPr="006E175A">
        <w:rPr>
          <w:rFonts w:ascii="Helvetica" w:eastAsia="Helvetica Neue" w:hAnsi="Helvetica" w:cs="Helvetica Neue"/>
          <w:sz w:val="18"/>
          <w:szCs w:val="18"/>
        </w:rPr>
        <w:t>2 e 3</w:t>
      </w:r>
      <w:r w:rsidRPr="006E175A">
        <w:rPr>
          <w:rFonts w:ascii="Helvetica" w:eastAsia="Helvetica Neue" w:hAnsi="Helvetica" w:cs="Helvetica Neue"/>
          <w:sz w:val="18"/>
          <w:szCs w:val="18"/>
        </w:rPr>
        <w:t>), a produção de biomassa seca total das mudas de maracujazeiro-amarelo foi diminuída com o incremento dos percentuais de carvão no substrato.</w:t>
      </w:r>
      <w:r w:rsidRPr="006E175A">
        <w:rPr>
          <w:rFonts w:ascii="Helvetica" w:eastAsia="Arial MT" w:hAnsi="Helvetica" w:cs="Arial MT"/>
          <w:b/>
          <w:sz w:val="18"/>
          <w:szCs w:val="18"/>
          <w:lang w:eastAsia="en-US"/>
        </w:rPr>
        <w:t xml:space="preserve"> </w:t>
      </w:r>
      <w:r w:rsidRPr="006E175A">
        <w:rPr>
          <w:rFonts w:ascii="Helvetica" w:eastAsia="Helvetica Neue" w:hAnsi="Helvetica" w:cs="Helvetica Neue"/>
          <w:sz w:val="18"/>
          <w:szCs w:val="18"/>
        </w:rPr>
        <w:t>Sem o uso do insumo, as mudas de maracujazeiro-amarelo apresentaram valores médios de massa seca total de 1,52 g planta</w:t>
      </w:r>
      <w:r w:rsidRPr="006E175A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E175A">
        <w:rPr>
          <w:rFonts w:ascii="Helvetica" w:eastAsia="Helvetica Neue" w:hAnsi="Helvetica" w:cs="Helvetica Neue"/>
          <w:sz w:val="18"/>
          <w:szCs w:val="18"/>
        </w:rPr>
        <w:t>, portanto, superior em 623,8% aos 0,21 g planta</w:t>
      </w:r>
      <w:r w:rsidRPr="006E175A">
        <w:rPr>
          <w:rFonts w:ascii="Helvetica" w:eastAsia="Helvetica Neue" w:hAnsi="Helvetica" w:cs="Helvetica Neue"/>
          <w:sz w:val="18"/>
          <w:szCs w:val="18"/>
          <w:vertAlign w:val="superscript"/>
        </w:rPr>
        <w:t>-1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 observados nos tratamentos com 100% de carvão vegetal (Figura 4).</w:t>
      </w:r>
      <w:r w:rsidR="00F2532F" w:rsidRPr="006E175A">
        <w:rPr>
          <w:rFonts w:ascii="Helvetica" w:eastAsia="Helvetica Neue" w:hAnsi="Helvetica" w:cs="Helvetica Neue"/>
          <w:sz w:val="18"/>
          <w:szCs w:val="18"/>
        </w:rPr>
        <w:t xml:space="preserve"> Para estes efeitos, é bem provável que o baixo conteúdo de nutrientes no substrato tenha limitado a maior produção de biomassa nos diferentes compartimentos da planta, resultando no baixo desempenho produtivo do maracujazeiro-amarelo.</w:t>
      </w:r>
    </w:p>
    <w:p w14:paraId="2582570F" w14:textId="0DA625A9" w:rsidR="000A22A0" w:rsidRPr="00CD48D5" w:rsidRDefault="006A25B8" w:rsidP="00CD48D5">
      <w:pPr>
        <w:widowControl w:val="0"/>
        <w:spacing w:line="288" w:lineRule="auto"/>
        <w:ind w:left="141" w:right="142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noProof/>
          <w:sz w:val="18"/>
          <w:szCs w:val="18"/>
          <w:lang w:val="pt-BR"/>
        </w:rPr>
        <w:drawing>
          <wp:inline distT="0" distB="0" distL="0" distR="0" wp14:anchorId="154C6F86" wp14:editId="192C0C0D">
            <wp:extent cx="2299287" cy="1306017"/>
            <wp:effectExtent l="0" t="0" r="635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03" cy="1313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23090" w14:textId="71AE482A" w:rsidR="000A22A0" w:rsidRDefault="006A25B8" w:rsidP="00981509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>Figura 4</w:t>
      </w:r>
      <w:r w:rsidR="000A22A0" w:rsidRPr="006E175A">
        <w:rPr>
          <w:rFonts w:ascii="Helvetica" w:eastAsia="Helvetica Neue" w:hAnsi="Helvetica" w:cs="Helvetica Neue"/>
          <w:sz w:val="18"/>
          <w:szCs w:val="18"/>
        </w:rPr>
        <w:t xml:space="preserve">: </w:t>
      </w:r>
      <w:r w:rsidRPr="006E175A">
        <w:rPr>
          <w:rFonts w:ascii="Helvetica" w:eastAsia="Helvetica Neue" w:hAnsi="Helvetica" w:cs="Helvetica Neue"/>
          <w:sz w:val="18"/>
          <w:szCs w:val="18"/>
        </w:rPr>
        <w:t>Massa seca total de mudas de maracujazeiro-amarelo em função de diferentes percentagens de carvão vegetal no substrato.</w:t>
      </w:r>
    </w:p>
    <w:p w14:paraId="461373FC" w14:textId="77777777" w:rsidR="00843C54" w:rsidRPr="006E175A" w:rsidRDefault="00843C54" w:rsidP="00981509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</w:p>
    <w:p w14:paraId="2AB506FE" w14:textId="5C612C72" w:rsidR="006A25B8" w:rsidRPr="006E175A" w:rsidRDefault="006A25B8" w:rsidP="00F2532F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 xml:space="preserve">A qualidade de mudas de maracujazeiro–amarelo foi </w:t>
      </w:r>
      <w:r w:rsidR="00CB2EEB" w:rsidRPr="006E175A">
        <w:rPr>
          <w:rFonts w:ascii="Helvetica" w:eastAsia="Helvetica Neue" w:hAnsi="Helvetica" w:cs="Helvetica Neue"/>
          <w:sz w:val="18"/>
          <w:szCs w:val="18"/>
        </w:rPr>
        <w:t>influenciada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 negativamente pelo aumento dos percentuais de biocarvão no substrato. </w:t>
      </w:r>
      <w:r w:rsidR="00F2532F" w:rsidRPr="006E175A">
        <w:rPr>
          <w:rFonts w:ascii="Helvetica" w:eastAsia="Helvetica Neue" w:hAnsi="Helvetica" w:cs="Helvetica Neue"/>
          <w:sz w:val="18"/>
          <w:szCs w:val="18"/>
        </w:rPr>
        <w:t xml:space="preserve">Conforme </w:t>
      </w:r>
      <w:r w:rsidR="00E9384E" w:rsidRPr="006E175A">
        <w:rPr>
          <w:rFonts w:ascii="Helvetica" w:eastAsia="Helvetica Neue" w:hAnsi="Helvetica" w:cs="Helvetica Neue"/>
          <w:sz w:val="18"/>
          <w:szCs w:val="18"/>
        </w:rPr>
        <w:t>observado na Figura 5</w:t>
      </w:r>
      <w:r w:rsidRPr="006E175A">
        <w:rPr>
          <w:rFonts w:ascii="Helvetica" w:eastAsia="Helvetica Neue" w:hAnsi="Helvetica" w:cs="Helvetica Neue"/>
          <w:sz w:val="18"/>
          <w:szCs w:val="18"/>
        </w:rPr>
        <w:t>, a maior concentração de carvão vegetal proporcionou às mudas de maracujazeiro-amarelo valor médio de IQD de 0,02 inferior em 90,5% ao do observado no tratamento testemunha (0,21). Para esta pesquisa, mudas de melhor qualidade foram produzidas sem o uso</w:t>
      </w:r>
      <w:r w:rsidR="00F2532F" w:rsidRPr="006E175A">
        <w:rPr>
          <w:rFonts w:ascii="Helvetica" w:eastAsia="Helvetica Neue" w:hAnsi="Helvetica" w:cs="Helvetica Neue"/>
          <w:sz w:val="18"/>
          <w:szCs w:val="18"/>
        </w:rPr>
        <w:t xml:space="preserve"> do carvão vegetal no substrato, conforme índice de qualidade agronômica apresentado por Hunt (1990).</w:t>
      </w:r>
    </w:p>
    <w:p w14:paraId="481F7C49" w14:textId="3070D91C" w:rsidR="006A25B8" w:rsidRPr="006E175A" w:rsidRDefault="006A25B8" w:rsidP="00981509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  <w:r w:rsidRPr="006E175A">
        <w:rPr>
          <w:rFonts w:ascii="Helvetica" w:eastAsia="Helvetica Neue" w:hAnsi="Helvetica" w:cs="Helvetica Neue"/>
          <w:noProof/>
          <w:sz w:val="16"/>
          <w:szCs w:val="16"/>
          <w:lang w:val="pt-BR"/>
        </w:rPr>
        <w:drawing>
          <wp:inline distT="0" distB="0" distL="0" distR="0" wp14:anchorId="1DF08EA8" wp14:editId="45EB827B">
            <wp:extent cx="2260778" cy="1347428"/>
            <wp:effectExtent l="0" t="0" r="635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42" cy="1362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DEA5D" w14:textId="6C125123" w:rsidR="000A22A0" w:rsidRDefault="00E9384E" w:rsidP="00BE20B1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>Figura 5</w:t>
      </w:r>
      <w:r w:rsidR="006A25B8" w:rsidRPr="006E175A">
        <w:rPr>
          <w:rFonts w:ascii="Helvetica" w:eastAsia="Helvetica Neue" w:hAnsi="Helvetica" w:cs="Helvetica Neue"/>
          <w:sz w:val="18"/>
          <w:szCs w:val="18"/>
        </w:rPr>
        <w:t xml:space="preserve">: </w:t>
      </w:r>
      <w:r w:rsidR="00BE20B1" w:rsidRPr="006E175A">
        <w:rPr>
          <w:rFonts w:ascii="Helvetica" w:eastAsia="Helvetica Neue" w:hAnsi="Helvetica" w:cs="Helvetica Neue"/>
          <w:sz w:val="18"/>
          <w:szCs w:val="18"/>
        </w:rPr>
        <w:t xml:space="preserve">Índice de Qualidade de Dickson (IQD) de mudas de maracujazeiro-amarelo em função de diferentes percentagens de carvão vegetal no substrato. </w:t>
      </w:r>
    </w:p>
    <w:p w14:paraId="15BF97EA" w14:textId="77777777" w:rsidR="00C461E8" w:rsidRPr="006E175A" w:rsidRDefault="00C461E8" w:rsidP="00BE20B1">
      <w:pPr>
        <w:widowControl w:val="0"/>
        <w:spacing w:line="288" w:lineRule="auto"/>
        <w:ind w:left="141" w:right="141" w:firstLine="294"/>
        <w:jc w:val="center"/>
        <w:rPr>
          <w:rFonts w:ascii="Helvetica" w:eastAsia="Helvetica Neue" w:hAnsi="Helvetica" w:cs="Helvetica Neue"/>
          <w:sz w:val="16"/>
          <w:szCs w:val="16"/>
        </w:rPr>
      </w:pPr>
    </w:p>
    <w:p w14:paraId="11469B8E" w14:textId="77777777" w:rsidR="00E30283" w:rsidRPr="006E175A" w:rsidRDefault="00E30283" w:rsidP="00942680">
      <w:pPr>
        <w:widowControl w:val="0"/>
        <w:numPr>
          <w:ilvl w:val="0"/>
          <w:numId w:val="1"/>
        </w:numPr>
        <w:ind w:left="436" w:right="142" w:hanging="294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b/>
          <w:sz w:val="18"/>
          <w:szCs w:val="18"/>
        </w:rPr>
        <w:t>Conclusões</w:t>
      </w:r>
    </w:p>
    <w:p w14:paraId="69850A13" w14:textId="77777777" w:rsidR="00843C54" w:rsidRDefault="00843C54" w:rsidP="00843C54">
      <w:pPr>
        <w:widowControl w:val="0"/>
        <w:spacing w:line="276" w:lineRule="auto"/>
        <w:ind w:left="142" w:right="142" w:firstLine="284"/>
        <w:jc w:val="both"/>
        <w:rPr>
          <w:rFonts w:ascii="Helvetica" w:eastAsia="Helvetica Neue" w:hAnsi="Helvetica" w:cs="Helvetica Neue"/>
          <w:sz w:val="18"/>
          <w:szCs w:val="18"/>
        </w:rPr>
      </w:pPr>
    </w:p>
    <w:p w14:paraId="38C34554" w14:textId="77777777" w:rsidR="00EA6802" w:rsidRDefault="00CB2EEB" w:rsidP="00EA6802">
      <w:pPr>
        <w:widowControl w:val="0"/>
        <w:spacing w:line="276" w:lineRule="auto"/>
        <w:ind w:left="142" w:right="142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>O uso do biocarvão nos substratos reduz a</w:t>
      </w:r>
      <w:r w:rsidR="006D1A0A" w:rsidRPr="006E175A">
        <w:rPr>
          <w:rFonts w:ascii="Helvetica" w:eastAsia="Helvetica Neue" w:hAnsi="Helvetica" w:cs="Helvetica Neue"/>
          <w:sz w:val="18"/>
          <w:szCs w:val="18"/>
        </w:rPr>
        <w:t xml:space="preserve"> produção de biomassa seca nos diferentes órgãos</w:t>
      </w:r>
      <w:r w:rsidR="0062529E" w:rsidRPr="006E175A">
        <w:rPr>
          <w:rFonts w:ascii="Helvetica" w:eastAsia="Helvetica Neue" w:hAnsi="Helvetica" w:cs="Helvetica Neue"/>
          <w:sz w:val="18"/>
          <w:szCs w:val="18"/>
        </w:rPr>
        <w:t xml:space="preserve"> das</w:t>
      </w:r>
      <w:r w:rsidR="00C25662" w:rsidRPr="006E175A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6D1A0A" w:rsidRPr="006E175A">
        <w:rPr>
          <w:rFonts w:ascii="Helvetica" w:eastAsia="Helvetica Neue" w:hAnsi="Helvetica" w:cs="Helvetica Neue"/>
          <w:sz w:val="18"/>
          <w:szCs w:val="18"/>
        </w:rPr>
        <w:t>plantas</w:t>
      </w:r>
      <w:r w:rsidR="00C25662" w:rsidRPr="006E175A">
        <w:rPr>
          <w:rFonts w:ascii="Helvetica" w:eastAsia="Helvetica Neue" w:hAnsi="Helvetica" w:cs="Helvetica Neue"/>
          <w:sz w:val="18"/>
          <w:szCs w:val="18"/>
        </w:rPr>
        <w:t xml:space="preserve"> de maracujazeiro-amarelo</w:t>
      </w:r>
      <w:r w:rsidR="006D1A0A" w:rsidRPr="006E175A">
        <w:rPr>
          <w:rFonts w:ascii="Helvetica" w:eastAsia="Helvetica Neue" w:hAnsi="Helvetica" w:cs="Helvetica Neue"/>
          <w:sz w:val="18"/>
          <w:szCs w:val="18"/>
        </w:rPr>
        <w:t xml:space="preserve">. </w:t>
      </w:r>
      <w:r w:rsidRPr="006E175A">
        <w:rPr>
          <w:rFonts w:ascii="Helvetica" w:eastAsia="Helvetica Neue" w:hAnsi="Helvetica" w:cs="Helvetica Neue"/>
          <w:sz w:val="18"/>
          <w:szCs w:val="18"/>
        </w:rPr>
        <w:t>Substratos com biocarvão podem resultar em mudas de maracujazeiro-amarelo com menor qualidade.</w:t>
      </w:r>
      <w:r w:rsidR="006D1A0A" w:rsidRPr="006E175A">
        <w:rPr>
          <w:rFonts w:ascii="Helvetica" w:eastAsia="Helvetica Neue" w:hAnsi="Helvetica" w:cs="Helvetica Neue"/>
          <w:sz w:val="18"/>
          <w:szCs w:val="18"/>
        </w:rPr>
        <w:t xml:space="preserve"> </w:t>
      </w:r>
    </w:p>
    <w:p w14:paraId="4D3F41C3" w14:textId="70365C3A" w:rsidR="00843C54" w:rsidRPr="00EA6802" w:rsidRDefault="00EA6802" w:rsidP="00EA6802">
      <w:pPr>
        <w:widowControl w:val="0"/>
        <w:spacing w:line="276" w:lineRule="auto"/>
        <w:ind w:left="142" w:right="142" w:firstLine="284"/>
        <w:jc w:val="both"/>
        <w:rPr>
          <w:rFonts w:ascii="Helvetica" w:eastAsia="Helvetica Neue" w:hAnsi="Helvetica" w:cs="Helvetica Neue"/>
          <w:sz w:val="18"/>
          <w:szCs w:val="18"/>
        </w:rPr>
      </w:pPr>
      <w:r w:rsidRPr="00EA6802">
        <w:rPr>
          <w:rFonts w:ascii="Helvetica" w:eastAsia="Helvetica Neue" w:hAnsi="Helvetica" w:cs="Helvetica Neue"/>
          <w:sz w:val="18"/>
          <w:szCs w:val="18"/>
        </w:rPr>
        <w:t xml:space="preserve">Podem ocorrer melhorias na sustentabilidade ambiental e econômica para o produtor rural, com o uso do biocarvão nos sistemas produtivos de mudas de maracujazeiro-amarelo. O uso desse insumo </w:t>
      </w:r>
      <w:r w:rsidR="00B25E5E">
        <w:rPr>
          <w:rFonts w:ascii="Helvetica" w:eastAsia="Helvetica Neue" w:hAnsi="Helvetica" w:cs="Helvetica Neue"/>
          <w:sz w:val="18"/>
          <w:szCs w:val="18"/>
        </w:rPr>
        <w:t>encu</w:t>
      </w:r>
      <w:bookmarkStart w:id="0" w:name="_GoBack"/>
      <w:bookmarkEnd w:id="0"/>
      <w:r w:rsidR="00B25E5E">
        <w:rPr>
          <w:rFonts w:ascii="Helvetica" w:eastAsia="Helvetica Neue" w:hAnsi="Helvetica" w:cs="Helvetica Neue"/>
          <w:sz w:val="18"/>
          <w:szCs w:val="18"/>
        </w:rPr>
        <w:t>rta</w:t>
      </w:r>
      <w:r w:rsidRPr="00EA6802">
        <w:rPr>
          <w:rFonts w:ascii="Helvetica" w:eastAsia="Helvetica Neue" w:hAnsi="Helvetica" w:cs="Helvetica Neue"/>
          <w:sz w:val="18"/>
          <w:szCs w:val="18"/>
        </w:rPr>
        <w:t xml:space="preserve"> o alcance da meta 2 dos Objetivos de Desenvolvimento Sustentável (ODS), propostos pela Organização das Nações Unidas (ONU).</w:t>
      </w:r>
    </w:p>
    <w:p w14:paraId="6002F232" w14:textId="77777777" w:rsidR="00C461E8" w:rsidRDefault="00C461E8" w:rsidP="00E17549">
      <w:pPr>
        <w:widowControl w:val="0"/>
        <w:spacing w:before="100" w:after="100" w:line="288" w:lineRule="auto"/>
        <w:ind w:left="141" w:right="141" w:firstLine="1"/>
        <w:jc w:val="both"/>
        <w:rPr>
          <w:rFonts w:ascii="Helvetica" w:eastAsia="Helvetica Neue" w:hAnsi="Helvetica" w:cs="Helvetica Neue"/>
          <w:b/>
          <w:sz w:val="18"/>
          <w:szCs w:val="18"/>
        </w:rPr>
      </w:pPr>
    </w:p>
    <w:p w14:paraId="5945A570" w14:textId="137A906A" w:rsidR="00607916" w:rsidRPr="006E175A" w:rsidRDefault="00726ADD" w:rsidP="00E17549">
      <w:pPr>
        <w:widowControl w:val="0"/>
        <w:spacing w:before="100" w:after="100" w:line="288" w:lineRule="auto"/>
        <w:ind w:left="141" w:right="141" w:firstLine="1"/>
        <w:jc w:val="both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b/>
          <w:sz w:val="18"/>
          <w:szCs w:val="18"/>
        </w:rPr>
        <w:t>Referências</w:t>
      </w:r>
    </w:p>
    <w:p w14:paraId="11322AE0" w14:textId="34C6B06B" w:rsidR="006D1A0A" w:rsidRPr="006E175A" w:rsidRDefault="006D1A0A" w:rsidP="00843C54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  <w:lang w:val="en-GB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>BARROS, L. M. S. G.; FREIRE, J. L. O.; SILVA, A. A. D. Comportamento vegetativo do tomateiro-cereja (</w:t>
      </w:r>
      <w:r w:rsidRPr="006E175A">
        <w:rPr>
          <w:rFonts w:ascii="Helvetica" w:eastAsia="Helvetica Neue" w:hAnsi="Helvetica" w:cs="Helvetica Neue"/>
          <w:i/>
          <w:sz w:val="18"/>
          <w:szCs w:val="18"/>
        </w:rPr>
        <w:t>Lycopersicon pimpinellifolium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) irrigado com águas salinas. </w:t>
      </w:r>
      <w:r w:rsidRPr="006E175A">
        <w:rPr>
          <w:rFonts w:ascii="Helvetica" w:eastAsia="Helvetica Neue" w:hAnsi="Helvetica" w:cs="Helvetica Neue"/>
          <w:b/>
          <w:sz w:val="18"/>
          <w:szCs w:val="18"/>
          <w:lang w:val="en-GB"/>
        </w:rPr>
        <w:t>Principia</w:t>
      </w:r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>, n. 44, p. 132-142, 2019.</w:t>
      </w:r>
    </w:p>
    <w:p w14:paraId="73BBA2E2" w14:textId="413108FA" w:rsidR="006D1A0A" w:rsidRPr="006E175A" w:rsidRDefault="006D1A0A" w:rsidP="00843C54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 xml:space="preserve">DICKSON, A.; LEAF, A.L.; HOSNER, J.F. Quality appraisal of white spruce and white pine seedling stock in nurseries. </w:t>
      </w:r>
      <w:r w:rsidRPr="006E175A">
        <w:rPr>
          <w:rFonts w:ascii="Helvetica" w:eastAsia="Helvetica Neue" w:hAnsi="Helvetica" w:cs="Helvetica Neue"/>
          <w:b/>
          <w:sz w:val="18"/>
          <w:szCs w:val="18"/>
          <w:lang w:val="pt-BR"/>
        </w:rPr>
        <w:t xml:space="preserve">Forest </w:t>
      </w:r>
      <w:proofErr w:type="spellStart"/>
      <w:r w:rsidRPr="006E175A">
        <w:rPr>
          <w:rFonts w:ascii="Helvetica" w:eastAsia="Helvetica Neue" w:hAnsi="Helvetica" w:cs="Helvetica Neue"/>
          <w:b/>
          <w:sz w:val="18"/>
          <w:szCs w:val="18"/>
          <w:lang w:val="pt-BR"/>
        </w:rPr>
        <w:t>Chronicle</w:t>
      </w:r>
      <w:proofErr w:type="spellEnd"/>
      <w:r w:rsidRPr="006E175A">
        <w:rPr>
          <w:rFonts w:ascii="Helvetica" w:eastAsia="Helvetica Neue" w:hAnsi="Helvetica" w:cs="Helvetica Neue"/>
          <w:sz w:val="18"/>
          <w:szCs w:val="18"/>
          <w:lang w:val="pt-BR"/>
        </w:rPr>
        <w:t>, v.36, p.10-13, 1960.</w:t>
      </w:r>
    </w:p>
    <w:p w14:paraId="7ABF2CB4" w14:textId="0E7B99E6" w:rsidR="006D1A0A" w:rsidRPr="006E175A" w:rsidRDefault="006D1A0A" w:rsidP="00843C54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 xml:space="preserve">DIAS, N. S.; BLANCO, F. F. </w:t>
      </w:r>
      <w:r w:rsidRPr="006E175A">
        <w:rPr>
          <w:rFonts w:ascii="Helvetica" w:eastAsia="Helvetica Neue" w:hAnsi="Helvetica" w:cs="Helvetica Neue"/>
          <w:b/>
          <w:sz w:val="18"/>
          <w:szCs w:val="18"/>
        </w:rPr>
        <w:t>Efeitos dos sais no solo e na planta</w:t>
      </w:r>
      <w:r w:rsidRPr="006E175A">
        <w:rPr>
          <w:rFonts w:ascii="Helvetica" w:eastAsia="Helvetica Neue" w:hAnsi="Helvetica" w:cs="Helvetica Neue"/>
          <w:sz w:val="18"/>
          <w:szCs w:val="18"/>
        </w:rPr>
        <w:t xml:space="preserve">. In: GHEYI, H. R.; DIAS, N. S.; LACERDA, C. F. (org.). Manejo da salinidade na agricultura: Estudos Básicos e Aplicados. </w:t>
      </w:r>
      <w:r w:rsidRPr="006E175A">
        <w:rPr>
          <w:rFonts w:ascii="Helvetica" w:eastAsia="Helvetica Neue" w:hAnsi="Helvetica" w:cs="Helvetica Neue"/>
          <w:sz w:val="18"/>
          <w:szCs w:val="18"/>
          <w:lang w:val="pt-BR"/>
        </w:rPr>
        <w:t>Fortaleza: INCT Sal, 2010. Cap. 9, p. 129-140, 2010.</w:t>
      </w:r>
    </w:p>
    <w:p w14:paraId="51F0892D" w14:textId="53EFD141" w:rsidR="006D1A0A" w:rsidRPr="006E175A" w:rsidRDefault="006D1A0A" w:rsidP="00843C54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 xml:space="preserve">FERREIRA, D. F. Sisvar: a computer statistical analysis system. </w:t>
      </w:r>
      <w:r w:rsidRPr="006E175A">
        <w:rPr>
          <w:rFonts w:ascii="Helvetica" w:eastAsia="Helvetica Neue" w:hAnsi="Helvetica" w:cs="Helvetica Neue"/>
          <w:b/>
          <w:sz w:val="18"/>
          <w:szCs w:val="18"/>
        </w:rPr>
        <w:t xml:space="preserve">Ciência &amp; Agrotecnologia, </w:t>
      </w:r>
      <w:r w:rsidRPr="006E175A">
        <w:rPr>
          <w:rFonts w:ascii="Helvetica" w:eastAsia="Helvetica Neue" w:hAnsi="Helvetica" w:cs="Helvetica Neue"/>
          <w:sz w:val="18"/>
          <w:szCs w:val="18"/>
        </w:rPr>
        <w:t>v. 35, n. 6, p. 1039-1042, 2011.</w:t>
      </w:r>
    </w:p>
    <w:p w14:paraId="30D4564D" w14:textId="22D8162C" w:rsidR="003A0F01" w:rsidRPr="006E175A" w:rsidRDefault="003A0F01" w:rsidP="00843C54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  <w:lang w:val="en-GB"/>
        </w:rPr>
      </w:pPr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 xml:space="preserve">HUNT, G.A. Effect of </w:t>
      </w:r>
      <w:proofErr w:type="spellStart"/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>styroblock</w:t>
      </w:r>
      <w:proofErr w:type="spellEnd"/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 xml:space="preserve"> design and cooper treatment on morphology of conifer seedlings. In: Target Seedling Symposium, Meeting of the Western Forest Nursery 38 Associations, General Technical report RM. </w:t>
      </w:r>
      <w:r w:rsidRPr="006E175A">
        <w:rPr>
          <w:rFonts w:ascii="Helvetica" w:eastAsia="Helvetica Neue" w:hAnsi="Helvetica" w:cs="Helvetica Neue"/>
          <w:b/>
          <w:sz w:val="18"/>
          <w:szCs w:val="18"/>
          <w:lang w:val="en-GB"/>
        </w:rPr>
        <w:t>Proceedings</w:t>
      </w:r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 xml:space="preserve">... Fort Collins: United States </w:t>
      </w:r>
      <w:proofErr w:type="spellStart"/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>Departament</w:t>
      </w:r>
      <w:proofErr w:type="spellEnd"/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 xml:space="preserve"> of Agriculture, Forest Service, p.218-222, 1990.</w:t>
      </w:r>
    </w:p>
    <w:p w14:paraId="4857E47B" w14:textId="77777777" w:rsidR="006D1A0A" w:rsidRPr="006E175A" w:rsidRDefault="006D1A0A" w:rsidP="00843C54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  <w:lang w:val="en-GB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 xml:space="preserve">LIMA, S. L. et al. Desenvolvimento de mudas de beterraba em substratos comerciais tratados com Biochar. </w:t>
      </w:r>
      <w:proofErr w:type="spellStart"/>
      <w:r w:rsidRPr="006E175A">
        <w:rPr>
          <w:rFonts w:ascii="Helvetica" w:eastAsia="Helvetica Neue" w:hAnsi="Helvetica" w:cs="Helvetica Neue"/>
          <w:b/>
          <w:sz w:val="18"/>
          <w:szCs w:val="18"/>
          <w:lang w:val="en-GB"/>
        </w:rPr>
        <w:t>Antrópica</w:t>
      </w:r>
      <w:proofErr w:type="spellEnd"/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>, v. 25, n. 3, p. 181-186, 2103.</w:t>
      </w:r>
    </w:p>
    <w:p w14:paraId="6FDAEB6B" w14:textId="5BD41F25" w:rsidR="00943D6E" w:rsidRPr="006E175A" w:rsidRDefault="006D1A0A" w:rsidP="00843C54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 xml:space="preserve">PETTER, F. A.; MADARI, B. E. </w:t>
      </w:r>
      <w:proofErr w:type="spellStart"/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>Biochar</w:t>
      </w:r>
      <w:proofErr w:type="spellEnd"/>
      <w:r w:rsidRPr="006E175A">
        <w:rPr>
          <w:rFonts w:ascii="Helvetica" w:eastAsia="Helvetica Neue" w:hAnsi="Helvetica" w:cs="Helvetica Neue"/>
          <w:sz w:val="18"/>
          <w:szCs w:val="18"/>
          <w:lang w:val="en-GB"/>
        </w:rPr>
        <w:t xml:space="preserve">: agronomic and environmental potential in Brazilian savannah soils. </w:t>
      </w:r>
      <w:r w:rsidRPr="006E175A">
        <w:rPr>
          <w:rFonts w:ascii="Helvetica" w:eastAsia="Helvetica Neue" w:hAnsi="Helvetica" w:cs="Helvetica Neue"/>
          <w:b/>
          <w:sz w:val="18"/>
          <w:szCs w:val="18"/>
        </w:rPr>
        <w:t>Revista Brasileira de Engenharia Agrícola e Ambienta</w:t>
      </w:r>
      <w:r w:rsidRPr="006E175A">
        <w:rPr>
          <w:rFonts w:ascii="Helvetica" w:eastAsia="Helvetica Neue" w:hAnsi="Helvetica" w:cs="Helvetica Neue"/>
          <w:sz w:val="18"/>
          <w:szCs w:val="18"/>
        </w:rPr>
        <w:t>l, v. 16, n. 7, p. 761-768, 2012.</w:t>
      </w:r>
    </w:p>
    <w:p w14:paraId="756039B5" w14:textId="0416A5C8" w:rsidR="006D1A0A" w:rsidRPr="006E175A" w:rsidRDefault="006D1A0A" w:rsidP="00843C54">
      <w:pPr>
        <w:widowControl w:val="0"/>
        <w:spacing w:line="288" w:lineRule="auto"/>
        <w:ind w:left="142" w:right="142"/>
        <w:rPr>
          <w:rFonts w:ascii="Helvetica" w:eastAsia="Helvetica Neue" w:hAnsi="Helvetica" w:cs="Helvetica Neue"/>
          <w:sz w:val="18"/>
          <w:szCs w:val="18"/>
        </w:rPr>
      </w:pPr>
      <w:r w:rsidRPr="006E175A">
        <w:rPr>
          <w:rFonts w:ascii="Helvetica" w:eastAsia="Helvetica Neue" w:hAnsi="Helvetica" w:cs="Helvetica Neue"/>
          <w:sz w:val="18"/>
          <w:szCs w:val="18"/>
        </w:rPr>
        <w:t xml:space="preserve">REZENDE, F. A. et al. Uso do Biochar na composição de substratos para produção de mudas de maracujá. </w:t>
      </w:r>
      <w:r w:rsidRPr="006E175A">
        <w:rPr>
          <w:rFonts w:ascii="Helvetica" w:eastAsia="Helvetica Neue" w:hAnsi="Helvetica" w:cs="Helvetica Neue"/>
          <w:b/>
          <w:sz w:val="18"/>
          <w:szCs w:val="18"/>
        </w:rPr>
        <w:t>Anais...</w:t>
      </w:r>
      <w:r w:rsidRPr="006E175A">
        <w:rPr>
          <w:rFonts w:ascii="Helvetica" w:eastAsia="Helvetica Neue" w:hAnsi="Helvetica" w:cs="Helvetica Neue"/>
          <w:sz w:val="18"/>
          <w:szCs w:val="18"/>
        </w:rPr>
        <w:t>ENCONTRO BRASILEIRO DE SUBSTÂNCIAS HÚMICAS, São Carlos, 2015, p. 431-434, 2015.</w:t>
      </w:r>
    </w:p>
    <w:sectPr w:rsidR="006D1A0A" w:rsidRPr="006E175A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06F1A" w14:textId="77777777" w:rsidR="00791A90" w:rsidRDefault="00791A90">
      <w:r>
        <w:separator/>
      </w:r>
    </w:p>
  </w:endnote>
  <w:endnote w:type="continuationSeparator" w:id="0">
    <w:p w14:paraId="46011021" w14:textId="77777777" w:rsidR="00791A90" w:rsidRDefault="0079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63D86" w14:textId="77777777" w:rsidR="00607916" w:rsidRDefault="00607916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2FC3272E" w14:textId="77777777" w:rsidR="00607916" w:rsidRDefault="00726AD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13ADDA84" wp14:editId="0FA4A4AA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36576" w14:textId="77777777" w:rsidR="00791A90" w:rsidRDefault="00791A90">
      <w:r>
        <w:separator/>
      </w:r>
    </w:p>
  </w:footnote>
  <w:footnote w:type="continuationSeparator" w:id="0">
    <w:p w14:paraId="0B98F53B" w14:textId="77777777" w:rsidR="00791A90" w:rsidRDefault="0079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AA95" w14:textId="66AE0E80" w:rsidR="00607916" w:rsidRDefault="00726ADD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7F4913B9" wp14:editId="31869924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47F34">
      <w:rPr>
        <w:rFonts w:ascii="Helvetica Neue" w:eastAsia="Helvetica Neue" w:hAnsi="Helvetica Neue" w:cs="Helvetica Neue"/>
        <w:color w:val="000000"/>
        <w:sz w:val="19"/>
        <w:szCs w:val="19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BF5"/>
    <w:multiLevelType w:val="multilevel"/>
    <w:tmpl w:val="612896E6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77766B3"/>
    <w:multiLevelType w:val="multilevel"/>
    <w:tmpl w:val="3672FE80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12270B3"/>
    <w:multiLevelType w:val="multilevel"/>
    <w:tmpl w:val="83D4F570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C1C001D"/>
    <w:multiLevelType w:val="hybridMultilevel"/>
    <w:tmpl w:val="1DFA5BFC"/>
    <w:lvl w:ilvl="0" w:tplc="4DA6448A">
      <w:start w:val="1"/>
      <w:numFmt w:val="lowerLetter"/>
      <w:lvlText w:val="%1)"/>
      <w:lvlJc w:val="left"/>
      <w:pPr>
        <w:ind w:left="192" w:hanging="236"/>
      </w:pPr>
      <w:rPr>
        <w:rFonts w:ascii="Arial MT" w:eastAsia="Arial MT" w:hAnsi="Arial MT" w:cs="Arial MT" w:hint="default"/>
        <w:spacing w:val="0"/>
        <w:w w:val="95"/>
        <w:sz w:val="20"/>
        <w:szCs w:val="20"/>
        <w:lang w:val="pt-PT" w:eastAsia="en-US" w:bidi="ar-SA"/>
      </w:rPr>
    </w:lvl>
    <w:lvl w:ilvl="1" w:tplc="BB624DC2">
      <w:numFmt w:val="bullet"/>
      <w:lvlText w:val="•"/>
      <w:lvlJc w:val="left"/>
      <w:pPr>
        <w:ind w:left="1177" w:hanging="236"/>
      </w:pPr>
      <w:rPr>
        <w:rFonts w:hint="default"/>
        <w:lang w:val="pt-PT" w:eastAsia="en-US" w:bidi="ar-SA"/>
      </w:rPr>
    </w:lvl>
    <w:lvl w:ilvl="2" w:tplc="68D63102">
      <w:numFmt w:val="bullet"/>
      <w:lvlText w:val="•"/>
      <w:lvlJc w:val="left"/>
      <w:pPr>
        <w:ind w:left="2154" w:hanging="236"/>
      </w:pPr>
      <w:rPr>
        <w:rFonts w:hint="default"/>
        <w:lang w:val="pt-PT" w:eastAsia="en-US" w:bidi="ar-SA"/>
      </w:rPr>
    </w:lvl>
    <w:lvl w:ilvl="3" w:tplc="6BDA03FC">
      <w:numFmt w:val="bullet"/>
      <w:lvlText w:val="•"/>
      <w:lvlJc w:val="left"/>
      <w:pPr>
        <w:ind w:left="3131" w:hanging="236"/>
      </w:pPr>
      <w:rPr>
        <w:rFonts w:hint="default"/>
        <w:lang w:val="pt-PT" w:eastAsia="en-US" w:bidi="ar-SA"/>
      </w:rPr>
    </w:lvl>
    <w:lvl w:ilvl="4" w:tplc="2932C278">
      <w:numFmt w:val="bullet"/>
      <w:lvlText w:val="•"/>
      <w:lvlJc w:val="left"/>
      <w:pPr>
        <w:ind w:left="4108" w:hanging="236"/>
      </w:pPr>
      <w:rPr>
        <w:rFonts w:hint="default"/>
        <w:lang w:val="pt-PT" w:eastAsia="en-US" w:bidi="ar-SA"/>
      </w:rPr>
    </w:lvl>
    <w:lvl w:ilvl="5" w:tplc="30B0577C">
      <w:numFmt w:val="bullet"/>
      <w:lvlText w:val="•"/>
      <w:lvlJc w:val="left"/>
      <w:pPr>
        <w:ind w:left="5086" w:hanging="236"/>
      </w:pPr>
      <w:rPr>
        <w:rFonts w:hint="default"/>
        <w:lang w:val="pt-PT" w:eastAsia="en-US" w:bidi="ar-SA"/>
      </w:rPr>
    </w:lvl>
    <w:lvl w:ilvl="6" w:tplc="98F69F5C">
      <w:numFmt w:val="bullet"/>
      <w:lvlText w:val="•"/>
      <w:lvlJc w:val="left"/>
      <w:pPr>
        <w:ind w:left="6063" w:hanging="236"/>
      </w:pPr>
      <w:rPr>
        <w:rFonts w:hint="default"/>
        <w:lang w:val="pt-PT" w:eastAsia="en-US" w:bidi="ar-SA"/>
      </w:rPr>
    </w:lvl>
    <w:lvl w:ilvl="7" w:tplc="171284B4">
      <w:numFmt w:val="bullet"/>
      <w:lvlText w:val="•"/>
      <w:lvlJc w:val="left"/>
      <w:pPr>
        <w:ind w:left="7040" w:hanging="236"/>
      </w:pPr>
      <w:rPr>
        <w:rFonts w:hint="default"/>
        <w:lang w:val="pt-PT" w:eastAsia="en-US" w:bidi="ar-SA"/>
      </w:rPr>
    </w:lvl>
    <w:lvl w:ilvl="8" w:tplc="91084A88">
      <w:numFmt w:val="bullet"/>
      <w:lvlText w:val="•"/>
      <w:lvlJc w:val="left"/>
      <w:pPr>
        <w:ind w:left="8017" w:hanging="23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16"/>
    <w:rsid w:val="00054E2A"/>
    <w:rsid w:val="00054EF3"/>
    <w:rsid w:val="00065C91"/>
    <w:rsid w:val="00094620"/>
    <w:rsid w:val="000A22A0"/>
    <w:rsid w:val="000C3BF0"/>
    <w:rsid w:val="000D111F"/>
    <w:rsid w:val="000D30C1"/>
    <w:rsid w:val="001107E5"/>
    <w:rsid w:val="00121200"/>
    <w:rsid w:val="00127B65"/>
    <w:rsid w:val="00147404"/>
    <w:rsid w:val="00163558"/>
    <w:rsid w:val="00173243"/>
    <w:rsid w:val="001934F0"/>
    <w:rsid w:val="001B29D8"/>
    <w:rsid w:val="001C6EA1"/>
    <w:rsid w:val="001D725C"/>
    <w:rsid w:val="001F0E4F"/>
    <w:rsid w:val="002321E2"/>
    <w:rsid w:val="00247191"/>
    <w:rsid w:val="00251C70"/>
    <w:rsid w:val="0028400E"/>
    <w:rsid w:val="002A1339"/>
    <w:rsid w:val="002E5553"/>
    <w:rsid w:val="002F2053"/>
    <w:rsid w:val="00360671"/>
    <w:rsid w:val="00367D62"/>
    <w:rsid w:val="0037538F"/>
    <w:rsid w:val="00380E6B"/>
    <w:rsid w:val="00383D01"/>
    <w:rsid w:val="00386C91"/>
    <w:rsid w:val="003A0F01"/>
    <w:rsid w:val="003C7505"/>
    <w:rsid w:val="003D5E8F"/>
    <w:rsid w:val="003E1A7A"/>
    <w:rsid w:val="004073A3"/>
    <w:rsid w:val="00421FAA"/>
    <w:rsid w:val="0043519C"/>
    <w:rsid w:val="00463849"/>
    <w:rsid w:val="004B1FDE"/>
    <w:rsid w:val="004D2C35"/>
    <w:rsid w:val="004F38D3"/>
    <w:rsid w:val="004F65E5"/>
    <w:rsid w:val="005417AF"/>
    <w:rsid w:val="005418B6"/>
    <w:rsid w:val="00547F34"/>
    <w:rsid w:val="0056304A"/>
    <w:rsid w:val="005704B4"/>
    <w:rsid w:val="005A7263"/>
    <w:rsid w:val="005E1297"/>
    <w:rsid w:val="005E3FAD"/>
    <w:rsid w:val="005E64EC"/>
    <w:rsid w:val="005F0EA9"/>
    <w:rsid w:val="00607916"/>
    <w:rsid w:val="0062529E"/>
    <w:rsid w:val="00645013"/>
    <w:rsid w:val="006562EE"/>
    <w:rsid w:val="00665305"/>
    <w:rsid w:val="00672E9C"/>
    <w:rsid w:val="00675F8E"/>
    <w:rsid w:val="006A25B8"/>
    <w:rsid w:val="006B0C4B"/>
    <w:rsid w:val="006B1DAC"/>
    <w:rsid w:val="006C610F"/>
    <w:rsid w:val="006D1A0A"/>
    <w:rsid w:val="006D6528"/>
    <w:rsid w:val="006E175A"/>
    <w:rsid w:val="006E41B4"/>
    <w:rsid w:val="006E7D8F"/>
    <w:rsid w:val="00720611"/>
    <w:rsid w:val="00726ADD"/>
    <w:rsid w:val="00791A90"/>
    <w:rsid w:val="007B16EC"/>
    <w:rsid w:val="007C054A"/>
    <w:rsid w:val="007C44CF"/>
    <w:rsid w:val="007C5925"/>
    <w:rsid w:val="00823886"/>
    <w:rsid w:val="00824D2F"/>
    <w:rsid w:val="00826671"/>
    <w:rsid w:val="00843C54"/>
    <w:rsid w:val="0085730D"/>
    <w:rsid w:val="00871560"/>
    <w:rsid w:val="00876D1B"/>
    <w:rsid w:val="00896ACD"/>
    <w:rsid w:val="008A4471"/>
    <w:rsid w:val="008B3BC8"/>
    <w:rsid w:val="008C14CB"/>
    <w:rsid w:val="008C5068"/>
    <w:rsid w:val="00927FCC"/>
    <w:rsid w:val="009371FE"/>
    <w:rsid w:val="00937D90"/>
    <w:rsid w:val="00942680"/>
    <w:rsid w:val="00943D6E"/>
    <w:rsid w:val="009477AB"/>
    <w:rsid w:val="00963964"/>
    <w:rsid w:val="00981509"/>
    <w:rsid w:val="0099227C"/>
    <w:rsid w:val="009B1A70"/>
    <w:rsid w:val="009B407E"/>
    <w:rsid w:val="009D72E9"/>
    <w:rsid w:val="009E59C4"/>
    <w:rsid w:val="00A00BCB"/>
    <w:rsid w:val="00A02866"/>
    <w:rsid w:val="00A42749"/>
    <w:rsid w:val="00A4484E"/>
    <w:rsid w:val="00A73D01"/>
    <w:rsid w:val="00A76B0F"/>
    <w:rsid w:val="00A95D97"/>
    <w:rsid w:val="00AB4381"/>
    <w:rsid w:val="00AB4756"/>
    <w:rsid w:val="00AD4444"/>
    <w:rsid w:val="00B02573"/>
    <w:rsid w:val="00B220D6"/>
    <w:rsid w:val="00B25E5E"/>
    <w:rsid w:val="00B602E0"/>
    <w:rsid w:val="00B7015E"/>
    <w:rsid w:val="00B77F86"/>
    <w:rsid w:val="00B959A5"/>
    <w:rsid w:val="00BA6A3E"/>
    <w:rsid w:val="00BB7C45"/>
    <w:rsid w:val="00BC68C4"/>
    <w:rsid w:val="00BC70BD"/>
    <w:rsid w:val="00BD0DAE"/>
    <w:rsid w:val="00BD39DC"/>
    <w:rsid w:val="00BE20B1"/>
    <w:rsid w:val="00BE5F0C"/>
    <w:rsid w:val="00C25662"/>
    <w:rsid w:val="00C461E8"/>
    <w:rsid w:val="00C65D08"/>
    <w:rsid w:val="00CB2EEB"/>
    <w:rsid w:val="00CD48D5"/>
    <w:rsid w:val="00D26AF3"/>
    <w:rsid w:val="00D47B42"/>
    <w:rsid w:val="00D668C9"/>
    <w:rsid w:val="00D706ED"/>
    <w:rsid w:val="00D7362B"/>
    <w:rsid w:val="00D74806"/>
    <w:rsid w:val="00D90D27"/>
    <w:rsid w:val="00D9544F"/>
    <w:rsid w:val="00DB18DD"/>
    <w:rsid w:val="00DB594B"/>
    <w:rsid w:val="00DB627D"/>
    <w:rsid w:val="00DD4656"/>
    <w:rsid w:val="00DF3E8E"/>
    <w:rsid w:val="00DF6B12"/>
    <w:rsid w:val="00E060AC"/>
    <w:rsid w:val="00E17549"/>
    <w:rsid w:val="00E30283"/>
    <w:rsid w:val="00E34C7E"/>
    <w:rsid w:val="00E42EE4"/>
    <w:rsid w:val="00E7176C"/>
    <w:rsid w:val="00E7618F"/>
    <w:rsid w:val="00E9384E"/>
    <w:rsid w:val="00EA6802"/>
    <w:rsid w:val="00EC3B6D"/>
    <w:rsid w:val="00EC7A9F"/>
    <w:rsid w:val="00EC7C23"/>
    <w:rsid w:val="00F11B4A"/>
    <w:rsid w:val="00F2532F"/>
    <w:rsid w:val="00FA0E21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E8908"/>
  <w15:docId w15:val="{911FFEB0-06A5-40AD-89FD-82C1635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65C9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2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20D6"/>
  </w:style>
  <w:style w:type="table" w:styleId="Tabelacomgrade">
    <w:name w:val="Table Grid"/>
    <w:basedOn w:val="Tabelanormal"/>
    <w:uiPriority w:val="39"/>
    <w:rsid w:val="00BE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7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F34"/>
  </w:style>
  <w:style w:type="paragraph" w:styleId="Rodap">
    <w:name w:val="footer"/>
    <w:basedOn w:val="Normal"/>
    <w:link w:val="RodapChar"/>
    <w:uiPriority w:val="99"/>
    <w:unhideWhenUsed/>
    <w:rsid w:val="00547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7F34"/>
  </w:style>
  <w:style w:type="paragraph" w:styleId="PargrafodaLista">
    <w:name w:val="List Paragraph"/>
    <w:basedOn w:val="Normal"/>
    <w:uiPriority w:val="34"/>
    <w:qFormat/>
    <w:rsid w:val="00DF6B1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602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1723</Words>
  <Characters>9309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GISLAINE</cp:lastModifiedBy>
  <cp:revision>13</cp:revision>
  <dcterms:created xsi:type="dcterms:W3CDTF">2021-07-18T13:17:00Z</dcterms:created>
  <dcterms:modified xsi:type="dcterms:W3CDTF">2021-10-17T20:42:00Z</dcterms:modified>
</cp:coreProperties>
</file>