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2C9C84" w:rsidR="00B05B46" w:rsidRDefault="00173CB2" w:rsidP="00173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173CB2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 QUÍMICA DAS CORES</w:t>
      </w:r>
      <w:r w:rsidR="002315AF" w:rsidRPr="000D369E"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  <w:t xml:space="preserve">: </w:t>
      </w:r>
      <w:r w:rsidR="004B618F" w:rsidRPr="000D369E">
        <w:rPr>
          <w:rFonts w:ascii="Helvetica Neue" w:eastAsia="Helvetica Neue" w:hAnsi="Helvetica Neue" w:cs="Helvetica Neue"/>
          <w:b/>
          <w:color w:val="000000" w:themeColor="text1"/>
          <w:sz w:val="18"/>
          <w:szCs w:val="18"/>
        </w:rPr>
        <w:t xml:space="preserve">INTERDISCIPLINARIDADE NA LICENCIATURA </w:t>
      </w:r>
      <w:r w:rsidR="002315AF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EM QUÍMICA</w:t>
      </w:r>
    </w:p>
    <w:p w14:paraId="139C0E34" w14:textId="458DB93B" w:rsidR="00F4114F" w:rsidRDefault="00F4114F" w:rsidP="00F41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Evany Mikaelly Cardoso Soares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Davi Vieira Correia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),</w:t>
      </w:r>
      <w:r w:rsidR="009359A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Joyce dos Santos Farias (IFPB, Campus João Pessoa),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Alessandra Marcone Tavares Alves de Figueirêdo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14:paraId="0ABBC4B6" w14:textId="77777777" w:rsidR="00F4114F" w:rsidRDefault="00F4114F" w:rsidP="00F41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0FAE124" w14:textId="0E5098B8" w:rsidR="00F4114F" w:rsidRPr="00F4114F" w:rsidRDefault="00F4114F" w:rsidP="00F41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B96307" w:rsidRPr="00B96307">
        <w:rPr>
          <w:rFonts w:ascii="Helvetica Neue" w:eastAsia="Helvetica Neue" w:hAnsi="Helvetica Neue" w:cs="Helvetica Neue"/>
          <w:color w:val="000000"/>
          <w:sz w:val="16"/>
          <w:szCs w:val="16"/>
        </w:rPr>
        <w:t>mikaelly.cardoso@academico.ifpb.edu.br,</w:t>
      </w:r>
      <w:r w:rsidR="00B9630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B96307" w:rsidRPr="00B96307">
        <w:rPr>
          <w:rFonts w:ascii="Helvetica Neue" w:eastAsia="Helvetica Neue" w:hAnsi="Helvetica Neue" w:cs="Helvetica Neue"/>
          <w:color w:val="000000"/>
          <w:sz w:val="16"/>
          <w:szCs w:val="16"/>
        </w:rPr>
        <w:t>davi.vieira@academico.ifpb.edu.br,</w:t>
      </w:r>
      <w:r w:rsidR="00B9630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B96307" w:rsidRPr="00B96307">
        <w:rPr>
          <w:rFonts w:ascii="Helvetica Neue" w:eastAsia="Helvetica Neue" w:hAnsi="Helvetica Neue" w:cs="Helvetica Neue"/>
          <w:color w:val="000000"/>
          <w:sz w:val="16"/>
          <w:szCs w:val="16"/>
        </w:rPr>
        <w:t>santos.joyce@academico.ifpb.edu.br</w:t>
      </w:r>
      <w:r w:rsidR="00B9630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B96307" w:rsidRPr="00B96307">
        <w:rPr>
          <w:rFonts w:ascii="Helvetica Neue" w:eastAsia="Helvetica Neue" w:hAnsi="Helvetica Neue" w:cs="Helvetica Neue"/>
          <w:color w:val="000000"/>
          <w:sz w:val="16"/>
          <w:szCs w:val="16"/>
        </w:rPr>
        <w:t>alessandratavaresfigueredo@academico.ifpb.edu.br</w:t>
      </w:r>
      <w:r w:rsidR="00B9630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. </w:t>
      </w:r>
    </w:p>
    <w:p w14:paraId="00000007" w14:textId="479CAF38" w:rsidR="00B05B46" w:rsidRDefault="00614C4F" w:rsidP="00F41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 w:firstLine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05501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Ciências Exatas </w:t>
      </w:r>
    </w:p>
    <w:p w14:paraId="00000008" w14:textId="0EB684A3" w:rsidR="00B05B46" w:rsidRDefault="00614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FA5C99">
        <w:rPr>
          <w:rFonts w:ascii="Helvetica Neue" w:eastAsia="Helvetica Neue" w:hAnsi="Helvetica Neue" w:cs="Helvetica Neue"/>
          <w:color w:val="000000"/>
          <w:sz w:val="16"/>
          <w:szCs w:val="16"/>
        </w:rPr>
        <w:t>e</w:t>
      </w:r>
      <w:r w:rsidR="00D33415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nsino; </w:t>
      </w:r>
      <w:r w:rsidR="00FA5C99">
        <w:rPr>
          <w:rFonts w:ascii="Helvetica Neue" w:eastAsia="Helvetica Neue" w:hAnsi="Helvetica Neue" w:cs="Helvetica Neue"/>
          <w:color w:val="000000"/>
          <w:sz w:val="16"/>
          <w:szCs w:val="16"/>
        </w:rPr>
        <w:t>tema</w:t>
      </w:r>
      <w:r w:rsidR="005A0291">
        <w:rPr>
          <w:rFonts w:ascii="Helvetica Neue" w:eastAsia="Helvetica Neue" w:hAnsi="Helvetica Neue" w:cs="Helvetica Neue"/>
          <w:color w:val="000000"/>
          <w:sz w:val="16"/>
          <w:szCs w:val="16"/>
        </w:rPr>
        <w:t>s</w:t>
      </w:r>
      <w:r w:rsidR="006061A9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5A0291">
        <w:rPr>
          <w:rFonts w:ascii="Helvetica Neue" w:eastAsia="Helvetica Neue" w:hAnsi="Helvetica Neue" w:cs="Helvetica Neue"/>
          <w:color w:val="000000"/>
          <w:sz w:val="16"/>
          <w:szCs w:val="16"/>
        </w:rPr>
        <w:t>diversificados</w:t>
      </w:r>
      <w:r w:rsidR="00D33415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r w:rsidR="005A0291">
        <w:rPr>
          <w:rFonts w:ascii="Helvetica Neue" w:eastAsia="Helvetica Neue" w:hAnsi="Helvetica Neue" w:cs="Helvetica Neue"/>
          <w:color w:val="000000"/>
          <w:sz w:val="16"/>
          <w:szCs w:val="16"/>
        </w:rPr>
        <w:t>c</w:t>
      </w:r>
      <w:r w:rsidR="00D33415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ores. </w:t>
      </w:r>
    </w:p>
    <w:p w14:paraId="00000009" w14:textId="77777777" w:rsidR="00B05B46" w:rsidRDefault="00B05B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A" w14:textId="77777777" w:rsidR="00B05B46" w:rsidRDefault="00614C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7B40A549" w14:textId="2AD2D1D6" w:rsidR="00173CB2" w:rsidRDefault="006D0811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D0811">
        <w:rPr>
          <w:rFonts w:ascii="Helvetica Neue" w:eastAsia="Helvetica Neue" w:hAnsi="Helvetica Neue" w:cs="Helvetica Neue"/>
          <w:color w:val="000000"/>
          <w:sz w:val="18"/>
          <w:szCs w:val="18"/>
        </w:rPr>
        <w:t>A Química é classificada com</w:t>
      </w:r>
      <w:r w:rsidR="00937A48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6D081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ciência central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, pois </w:t>
      </w:r>
      <w:r w:rsidR="004B618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por meio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dela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podemos</w:t>
      </w:r>
      <w:r w:rsidR="00F932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compreender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diversos fenômenos que acontecem em nosso</w:t>
      </w:r>
      <w:r w:rsidR="00F932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cotidiano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>, dentre eles,</w:t>
      </w:r>
      <w:r w:rsidR="00F932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podemos mencionar as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“cores”.</w:t>
      </w:r>
      <w:r w:rsidR="00F932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Esta 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>temática</w:t>
      </w:r>
      <w:r w:rsidR="000D3F9E" w:rsidRPr="000D3F9E">
        <w:t xml:space="preserve"> </w:t>
      </w:r>
      <w:r w:rsidR="000D3F9E" w:rsidRPr="000D3F9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está </w:t>
      </w:r>
      <w:r w:rsidR="000D3F9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diretamente </w:t>
      </w:r>
      <w:r w:rsidR="000D3F9E" w:rsidRPr="000D3F9E">
        <w:rPr>
          <w:rFonts w:ascii="Helvetica Neue" w:eastAsia="Helvetica Neue" w:hAnsi="Helvetica Neue" w:cs="Helvetica Neue"/>
          <w:color w:val="000000"/>
          <w:sz w:val="18"/>
          <w:szCs w:val="18"/>
        </w:rPr>
        <w:t>associada a conceitos químicos, porém</w:t>
      </w:r>
      <w:r w:rsidR="007C11CC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0D3F9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>não</w:t>
      </w:r>
      <w:r w:rsidR="00EB2E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</w:t>
      </w:r>
      <w:r w:rsidR="00EB2E24">
        <w:t xml:space="preserve"> </w:t>
      </w:r>
      <w:r w:rsidR="00DA0A87" w:rsidRPr="00DA0A87">
        <w:rPr>
          <w:rFonts w:ascii="Helvetica Neue" w:eastAsia="Helvetica Neue" w:hAnsi="Helvetica Neue" w:cs="Helvetica Neue"/>
          <w:color w:val="000000"/>
          <w:sz w:val="18"/>
          <w:szCs w:val="18"/>
        </w:rPr>
        <w:t>vist</w:t>
      </w:r>
      <w:r w:rsidR="00DA0A87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B929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tanta</w:t>
      </w:r>
      <w:r w:rsidR="00DA0A87" w:rsidRPr="00DA0A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frequência durante a</w:t>
      </w:r>
      <w:r w:rsidR="00DA0A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DA0A87" w:rsidRPr="00DA0A87">
        <w:rPr>
          <w:rFonts w:ascii="Helvetica Neue" w:eastAsia="Helvetica Neue" w:hAnsi="Helvetica Neue" w:cs="Helvetica Neue"/>
          <w:color w:val="000000"/>
          <w:sz w:val="18"/>
          <w:szCs w:val="18"/>
        </w:rPr>
        <w:t>graduação</w:t>
      </w:r>
      <w:r w:rsidR="00DA0A87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FE2E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que prejudica o processo de ensino e aprendizagem</w:t>
      </w:r>
      <w:r w:rsidR="000D3F9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C134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37A48">
        <w:rPr>
          <w:rFonts w:ascii="Helvetica Neue" w:eastAsia="Helvetica Neue" w:hAnsi="Helvetica Neue" w:cs="Helvetica Neue"/>
          <w:color w:val="000000"/>
          <w:sz w:val="18"/>
          <w:szCs w:val="18"/>
        </w:rPr>
        <w:t>Logo,</w:t>
      </w:r>
      <w:r w:rsidR="000D3F9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73CB2"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primordial implementar temas geradores pouco discutidos no ensino de Química. </w:t>
      </w:r>
      <w:r w:rsidR="00E31FEB" w:rsidRPr="00E31FEB">
        <w:rPr>
          <w:rFonts w:ascii="Helvetica Neue" w:eastAsia="Helvetica Neue" w:hAnsi="Helvetica Neue" w:cs="Helvetica Neue"/>
          <w:color w:val="000000"/>
          <w:sz w:val="18"/>
          <w:szCs w:val="18"/>
        </w:rPr>
        <w:t>Kraisig, Rocha e Braibante (2018, p.</w:t>
      </w:r>
      <w:r w:rsidR="00DD756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31FEB" w:rsidRPr="00E31FE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136), afirmam </w:t>
      </w:r>
      <w:r w:rsidR="00E31FEB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que</w:t>
      </w:r>
      <w:r w:rsidR="004B618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tais temas</w:t>
      </w:r>
      <w:r w:rsidR="00E31FEB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="00DD756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“</w:t>
      </w:r>
      <w:r w:rsidR="004B618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[...] </w:t>
      </w:r>
      <w:r w:rsidR="00E31FEB" w:rsidRPr="00E31FEB">
        <w:rPr>
          <w:rFonts w:ascii="Helvetica Neue" w:eastAsia="Helvetica Neue" w:hAnsi="Helvetica Neue" w:cs="Helvetica Neue"/>
          <w:color w:val="000000"/>
          <w:sz w:val="18"/>
          <w:szCs w:val="18"/>
        </w:rPr>
        <w:t>contribuem para um estudo da realidade, enfocando uma situação que tenha significação individual, social e histórica”.</w:t>
      </w:r>
    </w:p>
    <w:p w14:paraId="1C4C59AD" w14:textId="7C94BB36" w:rsidR="00173CB2" w:rsidRDefault="00173CB2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Sob esse viés, a diversificação de conteúdos químicos indubitavelmente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necessita</w:t>
      </w:r>
      <w:r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 incrementada nas ementas dos cursos de formação docente, sejam por meio de palestras, encontros ou fóruns, fazendo relação aos conceitos químicos de forma cotidiana, promovendo momentos de debates e troca de saberes, proporcionando assim, um melhor rendimento acadêmico e mudanças significativas na educação. </w:t>
      </w:r>
    </w:p>
    <w:p w14:paraId="70DF0C36" w14:textId="2DD5AE42" w:rsidR="00363B6F" w:rsidRDefault="00363B6F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63B6F">
        <w:rPr>
          <w:rFonts w:ascii="Helvetica Neue" w:eastAsia="Helvetica Neue" w:hAnsi="Helvetica Neue" w:cs="Helvetica Neue"/>
          <w:color w:val="000000"/>
          <w:sz w:val="18"/>
          <w:szCs w:val="18"/>
        </w:rPr>
        <w:t>Dentro dessa conjuntura, a interdisciplinaridade será o meio articulador do processo de ensino e aprendizagem, assumindo-se a partir de uma atitude que se estabelece no encontro dialógico dos sujeitos que ocupam o território das disciplinas (FAZENDA, 1979).</w:t>
      </w:r>
    </w:p>
    <w:p w14:paraId="02495DD8" w14:textId="1D9BBCF0" w:rsidR="0008682E" w:rsidRDefault="00173CB2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73CB2">
        <w:rPr>
          <w:rFonts w:ascii="Helvetica Neue" w:eastAsia="Helvetica Neue" w:hAnsi="Helvetica Neue" w:cs="Helvetica Neue"/>
          <w:color w:val="000000"/>
          <w:sz w:val="18"/>
          <w:szCs w:val="18"/>
        </w:rPr>
        <w:t>Destarte, o objetivo desse trabalho foi aprofundar, no curso de Licenciatura em Química do Instituto Federal da Paraíba – IFPB, Campus João Pessoa, de maneira contextualizada e interdisciplinar, uma reflexão sobre a “Química das cores” com o intuito de promover discussões, agregar conhecimento e provocar mudanças no modo de ensinar e aprender, por meio da palestra intitulada “A Química das cores, por que enxergamos o mundo colorido?”.</w:t>
      </w:r>
    </w:p>
    <w:p w14:paraId="5BF969B6" w14:textId="3A520EA5" w:rsidR="00E7366E" w:rsidRPr="00E7366E" w:rsidRDefault="00614C4F" w:rsidP="00BF72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A57F733" w14:textId="74C8D4AF" w:rsidR="00E7366E" w:rsidRDefault="00E7366E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>O presente trabalho é de cunho qualitativo, n</w:t>
      </w:r>
      <w:r w:rsidR="002315A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qual </w:t>
      </w:r>
      <w:r w:rsidR="00F55BFF" w:rsidRPr="00F55BFF">
        <w:rPr>
          <w:rFonts w:ascii="Helvetica Neue" w:eastAsia="Helvetica Neue" w:hAnsi="Helvetica Neue" w:cs="Helvetica Neue"/>
          <w:color w:val="000000"/>
          <w:sz w:val="18"/>
          <w:szCs w:val="18"/>
        </w:rPr>
        <w:t>ocorre por meio da análise dos dados, tanto em amplitude quanto em profundidade,</w:t>
      </w:r>
      <w:r w:rsidR="00DD756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55BFF" w:rsidRPr="00F55BFF">
        <w:rPr>
          <w:rFonts w:ascii="Helvetica Neue" w:eastAsia="Helvetica Neue" w:hAnsi="Helvetica Neue" w:cs="Helvetica Neue"/>
          <w:color w:val="000000"/>
          <w:sz w:val="18"/>
          <w:szCs w:val="18"/>
        </w:rPr>
        <w:t>visando tratar o grupo que está sendo investigado como a parte mais importante do processo de</w:t>
      </w:r>
      <w:r w:rsidR="00F55B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55BFF" w:rsidRPr="00F55BFF">
        <w:rPr>
          <w:rFonts w:ascii="Helvetica Neue" w:eastAsia="Helvetica Neue" w:hAnsi="Helvetica Neue" w:cs="Helvetica Neue"/>
          <w:color w:val="000000"/>
          <w:sz w:val="18"/>
          <w:szCs w:val="18"/>
        </w:rPr>
        <w:t>pesquisa (MARTINS, 2004</w:t>
      </w:r>
      <w:r w:rsidR="00F55BFF"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).</w:t>
      </w:r>
      <w:r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="00B739A9"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Ademais, a pesquisa </w:t>
      </w:r>
      <w:r w:rsidR="00B739A9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também </w:t>
      </w:r>
      <w:r w:rsidR="00DD756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fez uso </w:t>
      </w:r>
      <w:r w:rsidR="00B739A9"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de uma metodologia </w:t>
      </w:r>
      <w:r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participante</w:t>
      </w:r>
      <w:r w:rsidR="00B739A9"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,</w:t>
      </w:r>
      <w:r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“caracterizad</w:t>
      </w:r>
      <w:r w:rsidR="00DD756A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a</w:t>
      </w:r>
      <w:r w:rsidRPr="003D60CC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>pelo envolvimento e identificação do pesquisador com as pessoas investigadas” (MATOS E LERCHE, 2001, p. 46).</w:t>
      </w:r>
    </w:p>
    <w:p w14:paraId="1BB36354" w14:textId="2F189DED" w:rsidR="00E7366E" w:rsidRDefault="00E7366E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>Preliminarmente, houve uma pesquisa bibliográfica sobre as “cores”, tema escolhido como o assunto central da palestra relatada “A Química das cores, porque enxergamos o mundo colorido?”. A partir das vertentes da seguinte temática, foram estabelecidas relações com outras áreas de conhecimento, assim, fazendo uma abordagem interdisciplinar, enfatizando</w:t>
      </w:r>
      <w:r w:rsidR="00DD756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não é conhecimento isolado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DD756A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sim, sistemático. </w:t>
      </w:r>
    </w:p>
    <w:p w14:paraId="7908A0F0" w14:textId="57942486" w:rsidR="00E7366E" w:rsidRPr="000D369E" w:rsidRDefault="00E7366E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</w:pP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Tal palestra foi promovida remotamente, por meio da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plataforma “</w:t>
      </w:r>
      <w:r w:rsidRPr="000D369E">
        <w:rPr>
          <w:rFonts w:ascii="Helvetica Neue" w:eastAsia="Helvetica Neue" w:hAnsi="Helvetica Neue" w:cs="Helvetica Neue"/>
          <w:i/>
          <w:color w:val="000000" w:themeColor="text1"/>
          <w:sz w:val="18"/>
          <w:szCs w:val="18"/>
        </w:rPr>
        <w:t>Google Meet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”, 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>com a orientação dos integrantes do Programa de Educação Tutorial - PET Química, numa atividade de ensino denominada “Ciclo de Palestras”. No total, 30 (trinta) graduandos em Licenciatura em Química do IFPB, Campus João Pessoa, participaram da palestra supracitada,</w:t>
      </w:r>
      <w:r w:rsidR="000D3DF3" w:rsidRP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D3DF3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="000D3DF3" w:rsidRP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teve uma duração de </w:t>
      </w:r>
      <w:r w:rsidR="00E459FC">
        <w:rPr>
          <w:rFonts w:ascii="Helvetica Neue" w:eastAsia="Helvetica Neue" w:hAnsi="Helvetica Neue" w:cs="Helvetica Neue"/>
          <w:color w:val="000000"/>
          <w:sz w:val="18"/>
          <w:szCs w:val="18"/>
        </w:rPr>
        <w:t>45</w:t>
      </w:r>
      <w:r w:rsidR="000D3DF3" w:rsidRP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E459FC">
        <w:rPr>
          <w:rFonts w:ascii="Helvetica Neue" w:eastAsia="Helvetica Neue" w:hAnsi="Helvetica Neue" w:cs="Helvetica Neue"/>
          <w:color w:val="000000"/>
          <w:sz w:val="18"/>
          <w:szCs w:val="18"/>
        </w:rPr>
        <w:t>quarenta e cinco</w:t>
      </w:r>
      <w:r w:rsidR="000D3DF3" w:rsidRP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minutos </w:t>
      </w:r>
      <w:r w:rsidR="000D3DF3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e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="00DD756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teve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como 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>público alvo, discentes do 1º</w:t>
      </w:r>
      <w:r w:rsid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(primeiro)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ao 8º</w:t>
      </w:r>
      <w:r w:rsidR="000D3DF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(oitavo)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período do curso, com uma média de idade entre 19 (dezenove) a 42 (quarenta e dois) anos. Inicialmente, foi disponibilizado um Questionário de Sondagem (QS), que continha apenas 1 (uma) pergunta, 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posteriormente, ministrou-se a referida palestra e, após a conclusão da mesma, aplicou-se um Questionário Final (QF), que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apresentava </w:t>
      </w:r>
      <w:r w:rsidR="00DD756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também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1 </w:t>
      </w:r>
      <w:r w:rsidRPr="0008682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(uma) questão. Os questionários foram disponibilizados por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meio do “</w:t>
      </w:r>
      <w:r w:rsidRPr="000D369E">
        <w:rPr>
          <w:rFonts w:ascii="Helvetica Neue" w:eastAsia="Helvetica Neue" w:hAnsi="Helvetica Neue" w:cs="Helvetica Neue"/>
          <w:i/>
          <w:color w:val="000000" w:themeColor="text1"/>
          <w:sz w:val="18"/>
          <w:szCs w:val="18"/>
        </w:rPr>
        <w:t>Google Forms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”</w:t>
      </w:r>
      <w:r w:rsidR="00CC7D7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. </w:t>
      </w:r>
    </w:p>
    <w:p w14:paraId="00000015" w14:textId="5AC53E71" w:rsidR="00B05B46" w:rsidRPr="00E7366E" w:rsidRDefault="00614C4F" w:rsidP="00BF72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7366E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3764C3A1" w14:textId="77777777" w:rsidR="00E7366E" w:rsidRDefault="00E7366E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8FFA220" w14:textId="11DCE581" w:rsidR="00154901" w:rsidRDefault="00E7366E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7366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priori, no primeiro momento da atividade, foi disponibilizado um </w:t>
      </w:r>
      <w:r w:rsidR="00D623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Questionário de </w:t>
      </w:r>
      <w:r w:rsidR="00D62367" w:rsidRPr="004C3C25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S</w:t>
      </w:r>
      <w:r w:rsidRPr="00E7366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ondagem para os </w:t>
      </w:r>
      <w:r w:rsidR="00D62367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discentes 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participante</w:t>
      </w:r>
      <w:r w:rsidR="00CC7D7A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s</w:t>
      </w:r>
      <w:r w:rsidR="00CC7D7A">
        <w:rPr>
          <w:rFonts w:ascii="Helvetica Neue" w:eastAsia="Helvetica Neue" w:hAnsi="Helvetica Neue" w:cs="Helvetica Neue"/>
          <w:color w:val="000000"/>
          <w:sz w:val="18"/>
          <w:szCs w:val="18"/>
        </w:rPr>
        <w:t>, com o intuito de avaliar os conhecimentos prévios sobre o assunto abordado.</w:t>
      </w:r>
      <w:r w:rsidR="001549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5A5A3075" w14:textId="260716BA" w:rsidR="00710EF8" w:rsidRDefault="00710EF8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10EF8">
        <w:rPr>
          <w:rFonts w:ascii="Helvetica Neue" w:eastAsia="Helvetica Neue" w:hAnsi="Helvetica Neue" w:cs="Helvetica Neue"/>
          <w:color w:val="000000"/>
          <w:sz w:val="18"/>
          <w:szCs w:val="18"/>
        </w:rPr>
        <w:t>Os dados evidenciados no QS foram analisados e se encontram descritos na sequência, identificados pela combinação entre a letra Q, maiúscula, seguida por um numeral correspondente a cada questionário respondido.</w:t>
      </w:r>
    </w:p>
    <w:p w14:paraId="7CA529C3" w14:textId="1F9559EB" w:rsidR="0040723F" w:rsidRPr="005E183D" w:rsidRDefault="001706E0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E183D">
        <w:rPr>
          <w:rFonts w:ascii="Helvetica Neue" w:eastAsia="Helvetica Neue" w:hAnsi="Helvetica Neue" w:cs="Helvetica Neue"/>
          <w:sz w:val="18"/>
          <w:szCs w:val="18"/>
        </w:rPr>
        <w:t>Em alusão à</w:t>
      </w:r>
      <w:r w:rsidR="00D62367" w:rsidRPr="005E183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>indagação do QS: Cite 5 (cinco) palavras em que você pode associar a "</w:t>
      </w:r>
      <w:r w:rsidR="00B220E8" w:rsidRPr="005E183D">
        <w:rPr>
          <w:rFonts w:ascii="Helvetica Neue" w:eastAsia="Helvetica Neue" w:hAnsi="Helvetica Neue" w:cs="Helvetica Neue"/>
          <w:sz w:val="18"/>
          <w:szCs w:val="18"/>
        </w:rPr>
        <w:t xml:space="preserve">Química das 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>cores". Esse questionamento</w:t>
      </w:r>
      <w:r w:rsidR="000D369E" w:rsidRPr="005E183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>serviu para analisar se os respondentes</w:t>
      </w:r>
      <w:r w:rsidR="00BC373D" w:rsidRPr="005E183D">
        <w:rPr>
          <w:rFonts w:ascii="Helvetica Neue" w:eastAsia="Helvetica Neue" w:hAnsi="Helvetica Neue" w:cs="Helvetica Neue"/>
          <w:sz w:val="18"/>
          <w:szCs w:val="18"/>
        </w:rPr>
        <w:t xml:space="preserve"> vinculariam </w:t>
      </w:r>
      <w:r w:rsidR="00414A6C" w:rsidRPr="005E183D">
        <w:rPr>
          <w:rFonts w:ascii="Helvetica Neue" w:eastAsia="Helvetica Neue" w:hAnsi="Helvetica Neue" w:cs="Helvetica Neue"/>
          <w:sz w:val="18"/>
          <w:szCs w:val="18"/>
        </w:rPr>
        <w:t>o termo "cores" de forma análoga com a Química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 xml:space="preserve">. Apenas 38% dos estudantes conseguiram citar ao menos uma palavra </w:t>
      </w:r>
      <w:r w:rsidR="009B7C7B" w:rsidRPr="005E183D">
        <w:rPr>
          <w:rFonts w:ascii="Helvetica Neue" w:eastAsia="Helvetica Neue" w:hAnsi="Helvetica Neue" w:cs="Helvetica Neue"/>
          <w:sz w:val="18"/>
          <w:szCs w:val="18"/>
        </w:rPr>
        <w:t>que</w:t>
      </w:r>
      <w:r w:rsidR="008830C4" w:rsidRPr="005E183D">
        <w:t xml:space="preserve"> </w:t>
      </w:r>
      <w:r w:rsidR="008830C4" w:rsidRPr="005E183D">
        <w:rPr>
          <w:rFonts w:ascii="Helvetica Neue" w:eastAsia="Helvetica Neue" w:hAnsi="Helvetica Neue" w:cs="Helvetica Neue"/>
          <w:sz w:val="18"/>
          <w:szCs w:val="18"/>
        </w:rPr>
        <w:t>possuísse</w:t>
      </w:r>
      <w:r w:rsidR="009B7C7B" w:rsidRPr="005E183D">
        <w:rPr>
          <w:rFonts w:ascii="Helvetica Neue" w:eastAsia="Helvetica Neue" w:hAnsi="Helvetica Neue" w:cs="Helvetica Neue"/>
          <w:sz w:val="18"/>
          <w:szCs w:val="18"/>
        </w:rPr>
        <w:t xml:space="preserve"> essa relação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 xml:space="preserve">, como </w:t>
      </w:r>
      <w:r w:rsidR="00076973" w:rsidRPr="005E183D">
        <w:rPr>
          <w:rFonts w:ascii="Helvetica Neue" w:eastAsia="Helvetica Neue" w:hAnsi="Helvetica Neue" w:cs="Helvetica Neue"/>
          <w:sz w:val="18"/>
          <w:szCs w:val="18"/>
        </w:rPr>
        <w:t>coseguimos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 xml:space="preserve"> observar no </w:t>
      </w:r>
      <w:r w:rsidRPr="005E183D">
        <w:rPr>
          <w:rFonts w:ascii="Helvetica Neue" w:eastAsia="Helvetica Neue" w:hAnsi="Helvetica Neue" w:cs="Helvetica Neue"/>
          <w:b/>
          <w:bCs/>
          <w:sz w:val="18"/>
          <w:szCs w:val="18"/>
        </w:rPr>
        <w:t>Q8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>: “</w:t>
      </w:r>
      <w:r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>luz, fóton, excitação dos elétrons</w:t>
      </w:r>
      <w:r w:rsidR="007A0914"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>,</w:t>
      </w:r>
      <w:r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região do visível</w:t>
      </w:r>
      <w:r w:rsidR="007A0914"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>,</w:t>
      </w:r>
      <w:r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comprimento de onda</w:t>
      </w:r>
      <w:r w:rsidRPr="005E183D">
        <w:rPr>
          <w:rFonts w:ascii="Helvetica Neue" w:eastAsia="Helvetica Neue" w:hAnsi="Helvetica Neue" w:cs="Helvetica Neue"/>
          <w:sz w:val="18"/>
          <w:szCs w:val="18"/>
        </w:rPr>
        <w:t xml:space="preserve">” e os outros 62% responderam de maneira </w:t>
      </w:r>
      <w:r w:rsidR="002D5836" w:rsidRPr="005E183D">
        <w:rPr>
          <w:rFonts w:ascii="Helvetica Neue" w:eastAsia="Helvetica Neue" w:hAnsi="Helvetica Neue" w:cs="Helvetica Neue"/>
          <w:sz w:val="18"/>
          <w:szCs w:val="18"/>
        </w:rPr>
        <w:t>imprecisa</w:t>
      </w:r>
      <w:r w:rsidR="007A0914" w:rsidRPr="005E183D">
        <w:rPr>
          <w:rFonts w:ascii="Helvetica Neue" w:eastAsia="Helvetica Neue" w:hAnsi="Helvetica Neue" w:cs="Helvetica Neue"/>
          <w:sz w:val="18"/>
          <w:szCs w:val="18"/>
        </w:rPr>
        <w:t>,</w:t>
      </w:r>
      <w:r w:rsidR="00B220E8" w:rsidRPr="005E183D">
        <w:rPr>
          <w:rFonts w:ascii="Helvetica Neue" w:eastAsia="Helvetica Neue" w:hAnsi="Helvetica Neue" w:cs="Helvetica Neue"/>
          <w:sz w:val="18"/>
          <w:szCs w:val="18"/>
        </w:rPr>
        <w:t xml:space="preserve"> ou seja, não </w:t>
      </w:r>
      <w:r w:rsidR="00001427" w:rsidRPr="005E183D">
        <w:rPr>
          <w:rFonts w:ascii="Helvetica Neue" w:eastAsia="Helvetica Neue" w:hAnsi="Helvetica Neue" w:cs="Helvetica Neue"/>
          <w:sz w:val="18"/>
          <w:szCs w:val="18"/>
        </w:rPr>
        <w:t xml:space="preserve">indentificaram uma </w:t>
      </w:r>
      <w:r w:rsidR="00B220E8" w:rsidRPr="005E183D">
        <w:rPr>
          <w:rFonts w:ascii="Helvetica Neue" w:eastAsia="Helvetica Neue" w:hAnsi="Helvetica Neue" w:cs="Helvetica Neue"/>
          <w:sz w:val="18"/>
          <w:szCs w:val="18"/>
        </w:rPr>
        <w:t>re</w:t>
      </w:r>
      <w:r w:rsidR="00001427" w:rsidRPr="005E183D">
        <w:rPr>
          <w:rFonts w:ascii="Helvetica Neue" w:eastAsia="Helvetica Neue" w:hAnsi="Helvetica Neue" w:cs="Helvetica Neue"/>
          <w:sz w:val="18"/>
          <w:szCs w:val="18"/>
        </w:rPr>
        <w:t>lação entre a</w:t>
      </w:r>
      <w:r w:rsidR="00A00C55" w:rsidRPr="005E183D">
        <w:rPr>
          <w:rFonts w:ascii="Helvetica Neue" w:eastAsia="Helvetica Neue" w:hAnsi="Helvetica Neue" w:cs="Helvetica Neue"/>
          <w:sz w:val="18"/>
          <w:szCs w:val="18"/>
        </w:rPr>
        <w:t xml:space="preserve"> Química </w:t>
      </w:r>
      <w:r w:rsidR="00001427" w:rsidRPr="005E183D">
        <w:rPr>
          <w:rFonts w:ascii="Helvetica Neue" w:eastAsia="Helvetica Neue" w:hAnsi="Helvetica Neue" w:cs="Helvetica Neue"/>
          <w:sz w:val="18"/>
          <w:szCs w:val="18"/>
        </w:rPr>
        <w:t>e</w:t>
      </w:r>
      <w:r w:rsidR="00B220E8" w:rsidRPr="005E183D">
        <w:rPr>
          <w:rFonts w:ascii="Helvetica Neue" w:eastAsia="Helvetica Neue" w:hAnsi="Helvetica Neue" w:cs="Helvetica Neue"/>
          <w:sz w:val="18"/>
          <w:szCs w:val="18"/>
        </w:rPr>
        <w:t xml:space="preserve"> as cores</w:t>
      </w:r>
      <w:r w:rsidR="00A00C55" w:rsidRPr="005E183D">
        <w:rPr>
          <w:rFonts w:ascii="Helvetica Neue" w:eastAsia="Helvetica Neue" w:hAnsi="Helvetica Neue" w:cs="Helvetica Neue"/>
          <w:sz w:val="18"/>
          <w:szCs w:val="18"/>
        </w:rPr>
        <w:t>,</w:t>
      </w:r>
      <w:r w:rsidR="007A0914" w:rsidRPr="005E183D">
        <w:rPr>
          <w:rFonts w:ascii="Helvetica Neue" w:eastAsia="Helvetica Neue" w:hAnsi="Helvetica Neue" w:cs="Helvetica Neue"/>
          <w:sz w:val="18"/>
          <w:szCs w:val="18"/>
        </w:rPr>
        <w:t xml:space="preserve"> como </w:t>
      </w:r>
      <w:r w:rsidR="00076973" w:rsidRPr="005E183D">
        <w:rPr>
          <w:rFonts w:ascii="Helvetica Neue" w:eastAsia="Helvetica Neue" w:hAnsi="Helvetica Neue" w:cs="Helvetica Neue"/>
          <w:sz w:val="18"/>
          <w:szCs w:val="18"/>
        </w:rPr>
        <w:t>podemos</w:t>
      </w:r>
      <w:r w:rsidR="007A0914" w:rsidRPr="005E183D">
        <w:rPr>
          <w:rFonts w:ascii="Helvetica Neue" w:eastAsia="Helvetica Neue" w:hAnsi="Helvetica Neue" w:cs="Helvetica Neue"/>
          <w:sz w:val="18"/>
          <w:szCs w:val="18"/>
        </w:rPr>
        <w:t xml:space="preserve"> comprovar no </w:t>
      </w:r>
      <w:r w:rsidR="007A0914" w:rsidRPr="005E183D">
        <w:rPr>
          <w:rFonts w:ascii="Helvetica Neue" w:eastAsia="Helvetica Neue" w:hAnsi="Helvetica Neue" w:cs="Helvetica Neue"/>
          <w:b/>
          <w:bCs/>
          <w:sz w:val="18"/>
          <w:szCs w:val="18"/>
        </w:rPr>
        <w:t>Q5</w:t>
      </w:r>
      <w:r w:rsidR="007A0914" w:rsidRPr="005E183D">
        <w:rPr>
          <w:rFonts w:ascii="Helvetica Neue" w:eastAsia="Helvetica Neue" w:hAnsi="Helvetica Neue" w:cs="Helvetica Neue"/>
          <w:sz w:val="18"/>
          <w:szCs w:val="18"/>
        </w:rPr>
        <w:t>: “</w:t>
      </w:r>
      <w:r w:rsidR="007A0914"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>Lápis, vermelho, tinta, desenho, paisagem”</w:t>
      </w:r>
      <w:r w:rsidR="00154901"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>.</w:t>
      </w:r>
      <w:r w:rsidR="005E183D" w:rsidRPr="005E183D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 </w:t>
      </w:r>
      <w:r w:rsidR="005E183D" w:rsidRPr="005E183D">
        <w:rPr>
          <w:rFonts w:ascii="Helvetica Neue" w:eastAsia="Helvetica Neue" w:hAnsi="Helvetica Neue" w:cs="Helvetica Neue"/>
          <w:sz w:val="18"/>
          <w:szCs w:val="18"/>
        </w:rPr>
        <w:t xml:space="preserve">Kraisig, Rocha e Braibante (2018), em sua pesquisa alegaram que é evidente a dificuldade de correlacionar o conhecimento científico juntamente com o fenômeno da cor. </w:t>
      </w:r>
    </w:p>
    <w:p w14:paraId="09E6C81C" w14:textId="77777777" w:rsidR="004C1877" w:rsidRDefault="001706E0" w:rsidP="004C1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resultados evidenciados no QS alegam o desprovimento de temas diversificados no ensino, visto que a porcentagem de pessoas que associaram o tema citado com a Química foi extremamente inferior. </w:t>
      </w:r>
    </w:p>
    <w:p w14:paraId="762DE7EE" w14:textId="2A86AC64" w:rsidR="004C1877" w:rsidRPr="00730C96" w:rsidRDefault="004C1877" w:rsidP="00730C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No segundo momento, foi ministrada a referida palestra de forma contextualizada</w:t>
      </w:r>
      <w:r w:rsidR="001A2488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</w:t>
      </w:r>
      <w:r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interdi</w:t>
      </w:r>
      <w:r w:rsidR="001A2488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ciplina</w:t>
      </w:r>
      <w:r w:rsidR="001A2488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, assegurando que esses eixos organizadores façam relação com o cotidiano dos discentes e com outras áreas de conhecimento. Nessa conjuntura, Almeida et al. (2008, p. 2) relatam que: “[...] se faz necessário a prática de um ensino mais contextualizado, onde se pretende relacionar os conteúdos de Química com o cotidiano dos discentes, respeitando as diversidades de cada um, visando à formação do cidadão, e o exercício de seu senso crítico”.</w:t>
      </w:r>
      <w:r w:rsidR="000A7B0A" w:rsidRPr="005A6E16">
        <w:t xml:space="preserve"> </w:t>
      </w:r>
      <w:r w:rsidR="000A7B0A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Já a interdisciplinaridade </w:t>
      </w:r>
      <w:r w:rsidR="00696B51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0A7B0A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egundo o PCN “supõe um eixo integrador, que pode ser o objeto de conhecimento, um projeto de investigação ou um plano de intervenção”</w:t>
      </w:r>
      <w:r w:rsidR="00EA626B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[..]</w:t>
      </w:r>
      <w:r w:rsidR="000A7B0A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. (BRASIL, 2002, p. 88-89)</w:t>
      </w:r>
      <w:r w:rsidR="00D91627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8679EFE" w14:textId="77777777" w:rsidR="004C1877" w:rsidRDefault="004C1877" w:rsidP="004C1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E4E87">
        <w:rPr>
          <w:rFonts w:ascii="Helvetica Neue" w:eastAsia="Helvetica Neue" w:hAnsi="Helvetica Neue" w:cs="Helvetica Neue"/>
          <w:color w:val="000000"/>
          <w:sz w:val="18"/>
          <w:szCs w:val="18"/>
        </w:rPr>
        <w:t>A princípio, foram discorridos tópicos referentes à luz, sistema de cores, fenômenos ligados a visão, entre outros. Ao longo da apresentação, foram realizadas algumas indagações ao público presente, gerando momentos de aprendizagem com debates construtivos, ocasionando uma aprendizagem significativa entre os estudantes.</w:t>
      </w:r>
    </w:p>
    <w:p w14:paraId="2DDB941C" w14:textId="52DFA271" w:rsidR="00DC3954" w:rsidRDefault="00DC3954" w:rsidP="004C1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C3954">
        <w:rPr>
          <w:rFonts w:ascii="Helvetica Neue" w:eastAsia="Helvetica Neue" w:hAnsi="Helvetica Neue" w:cs="Helvetica Neue"/>
          <w:color w:val="000000"/>
          <w:sz w:val="18"/>
          <w:szCs w:val="18"/>
        </w:rPr>
        <w:t>Nessa perspectiva, os Parâmetros Curriculares Nacionais para o Ensino Médio (PCNs) atestam para importância de estimular a interação entre aluno-aluno e aluno-mediador, pois momentos como estes favorecem o desenvolvimento de competências cognitivas superiores, além de</w:t>
      </w:r>
      <w:r w:rsidR="003D02DF" w:rsidRPr="003D02D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DC39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propiciar formas coletivas de conhecimento (BRASIL, 2000).</w:t>
      </w:r>
    </w:p>
    <w:p w14:paraId="1DFD360E" w14:textId="390A7E2B" w:rsidR="0040723F" w:rsidRDefault="009369A4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terceiro e ultimo momento, foi entregue aos participantes o QF, </w:t>
      </w:r>
      <w:r w:rsidR="00BF68F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a finalidade de analisar a compreensão do assunto discutido na palestra. </w:t>
      </w:r>
      <w:r w:rsidR="001706E0"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>Em concernência ao questionamento do QF, este sublinhava que: Após sua participação na palestra, responda novamente e rapidamente o que lhe vem em mente, qua</w:t>
      </w:r>
      <w:r w:rsidR="003D02DF">
        <w:rPr>
          <w:rFonts w:ascii="Helvetica Neue" w:eastAsia="Helvetica Neue" w:hAnsi="Helvetica Neue" w:cs="Helvetica Neue"/>
          <w:color w:val="000000"/>
          <w:sz w:val="18"/>
          <w:szCs w:val="18"/>
        </w:rPr>
        <w:t>ndo você pensa sobre as cores? C</w:t>
      </w:r>
      <w:r w:rsidR="001706E0"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ite 5 (cinco) palavras em que você pode associar a "cores". Todos os discentes responderam de forma satisfatória, como podemos observar no </w:t>
      </w:r>
      <w:r w:rsidR="001706E0" w:rsidRPr="004D3F92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Q6</w:t>
      </w:r>
      <w:r w:rsidR="001706E0" w:rsidRPr="00E72219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: “Comprimento de onda, excitação de elétrons, absorção, reflexão e fótons”</w:t>
      </w:r>
      <w:r w:rsidR="001706E0"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1DE13F83" w14:textId="77AAEFDC" w:rsidR="004C1877" w:rsidRDefault="003D02DF" w:rsidP="004C18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Os dados apresentados no QF</w:t>
      </w:r>
      <w:r w:rsidR="002D2199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ressaltam explicitamente a evolução dos discentes no decorrer da atividade, delineando sua visão sobre o assunto abordado</w:t>
      </w:r>
      <w:r w:rsidR="004D3F92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2D2199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levantando respostas mais </w:t>
      </w:r>
      <w:r w:rsidR="002D2199"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contextualizadas e relacionadas a conteúdos </w:t>
      </w:r>
      <w:r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químicos,</w:t>
      </w:r>
      <w:r w:rsidR="002D2199"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assim</w:t>
      </w:r>
      <w:r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,</w:t>
      </w:r>
      <w:r w:rsidR="002D2199"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despertando a reflexão dos </w:t>
      </w:r>
      <w:r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participantes </w:t>
      </w:r>
      <w:r w:rsidR="002D2199"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sobre as vertentes que </w:t>
      </w:r>
      <w:r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se relacionam</w:t>
      </w:r>
      <w:r w:rsidR="002D2199" w:rsidRPr="005A6E16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="002D2199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>com a temática, significando um excelente avanço no seu conhecimento cognitivo.</w:t>
      </w:r>
      <w:r w:rsidR="004C1877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Dessa forma, o ensino de ciências proporciona uma melhor forma de ensino e aprendizagem de maneira integrada através de estudos de temas, fugindo </w:t>
      </w:r>
      <w:r w:rsidR="004C1877" w:rsidRPr="005A6E16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dos modelos sistemáticos e unificados (MOZENA; OSTERMANN, 2014).</w:t>
      </w:r>
    </w:p>
    <w:p w14:paraId="285EFD92" w14:textId="37AD02C8" w:rsidR="003D02DF" w:rsidRPr="00686846" w:rsidRDefault="003D02DF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>Com isso, a palestra sobre a “Química das Cores”, torna-se um excelente recurso para ser utilizado como aliado ao trabalho docente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t xml:space="preserve"> </w:t>
      </w:r>
      <w:r w:rsidRPr="00891ACE">
        <w:rPr>
          <w:rFonts w:ascii="Helvetica Neue" w:eastAsia="Helvetica Neue" w:hAnsi="Helvetica Neue" w:cs="Helvetica Neue"/>
          <w:color w:val="000000"/>
          <w:sz w:val="18"/>
          <w:szCs w:val="18"/>
        </w:rPr>
        <w:t>principalmente por provocar um encantamento, pois vivemos em um mundo onde há predominância do colorido (KRAISIG; BRAIBANTE; PAZINATO, 2017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). Contudo, por </w:t>
      </w:r>
      <w:r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>meio dos resultados avaliados, acredita-se que no ensino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1706E0">
        <w:rPr>
          <w:rFonts w:ascii="Helvetica Neue" w:eastAsia="Helvetica Neue" w:hAnsi="Helvetica Neue" w:cs="Helvetica Neue"/>
          <w:color w:val="000000"/>
          <w:sz w:val="18"/>
          <w:szCs w:val="18"/>
        </w:rPr>
        <w:t>existem muitas possibilidades para a abordagem da temática mencionada, uma delas é a apresentação de palestras com temas pouco difundidos na Licenciatura em Química.</w:t>
      </w:r>
    </w:p>
    <w:p w14:paraId="66821B52" w14:textId="77777777" w:rsidR="003D02DF" w:rsidRPr="00686846" w:rsidRDefault="003D02DF" w:rsidP="00BF72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2" w:firstLine="72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31" w14:textId="77777777" w:rsidR="00B05B46" w:rsidRDefault="00614C4F" w:rsidP="00BF7231">
      <w:pPr>
        <w:widowControl w:val="0"/>
        <w:numPr>
          <w:ilvl w:val="0"/>
          <w:numId w:val="1"/>
        </w:numPr>
        <w:spacing w:before="240" w:after="240" w:line="360" w:lineRule="auto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6FB7841B" w14:textId="77777777" w:rsidR="00891ACE" w:rsidRDefault="0040723F" w:rsidP="00BF7231">
      <w:pPr>
        <w:widowControl w:val="0"/>
        <w:spacing w:line="360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0723F">
        <w:rPr>
          <w:rFonts w:ascii="Helvetica Neue" w:eastAsia="Helvetica Neue" w:hAnsi="Helvetica Neue" w:cs="Helvetica Neue"/>
          <w:sz w:val="18"/>
          <w:szCs w:val="18"/>
        </w:rPr>
        <w:t xml:space="preserve">As cores estão presentes em nosso dia a dia e diretamente ligadas a conceitos científicos, logo se prova que é possível utilizar situações presentes do cotidiano na ciência Química, transcendendo os assuntos obrigatórios nas ementas dos Cursos de Licenciatura, com a utilização de diferentes estratégias de ensino. </w:t>
      </w:r>
    </w:p>
    <w:p w14:paraId="00000032" w14:textId="33DEC57C" w:rsidR="00B05B46" w:rsidRDefault="004D3F92" w:rsidP="00BF7231">
      <w:pPr>
        <w:widowControl w:val="0"/>
        <w:spacing w:line="360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Sendo assim</w:t>
      </w:r>
      <w:r w:rsidR="0040723F" w:rsidRPr="0040723F">
        <w:rPr>
          <w:rFonts w:ascii="Helvetica Neue" w:eastAsia="Helvetica Neue" w:hAnsi="Helvetica Neue" w:cs="Helvetica Neue"/>
          <w:sz w:val="18"/>
          <w:szCs w:val="18"/>
        </w:rPr>
        <w:t xml:space="preserve">, com a utilização de temas diversificados no ensino de Química por meio da atividade “Ciclo de Palestras”, foi </w:t>
      </w:r>
      <w:r w:rsidR="0040723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possível</w:t>
      </w:r>
      <w:r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 </w:t>
      </w:r>
      <w:r w:rsidR="003D02D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favorecer </w:t>
      </w:r>
      <w:r w:rsidR="0040723F" w:rsidRPr="000D369E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 xml:space="preserve">os </w:t>
      </w:r>
      <w:r w:rsidR="0040723F" w:rsidRPr="0040723F">
        <w:rPr>
          <w:rFonts w:ascii="Helvetica Neue" w:eastAsia="Helvetica Neue" w:hAnsi="Helvetica Neue" w:cs="Helvetica Neue"/>
          <w:sz w:val="18"/>
          <w:szCs w:val="18"/>
        </w:rPr>
        <w:t>conhecimentos dos discentes com metodologias diferenciadas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="004B0084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A347E" w:rsidRPr="005A347E">
        <w:rPr>
          <w:rFonts w:ascii="Helvetica Neue" w:eastAsia="Helvetica Neue" w:hAnsi="Helvetica Neue" w:cs="Helvetica Neue"/>
          <w:sz w:val="18"/>
          <w:szCs w:val="18"/>
        </w:rPr>
        <w:t>concedendo</w:t>
      </w:r>
      <w:r w:rsidR="005A347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B0084">
        <w:rPr>
          <w:rFonts w:ascii="Helvetica Neue" w:eastAsia="Helvetica Neue" w:hAnsi="Helvetica Neue" w:cs="Helvetica Neue"/>
          <w:sz w:val="18"/>
          <w:szCs w:val="18"/>
        </w:rPr>
        <w:t>uma nova pespectiva sobre a Química das cores.</w:t>
      </w:r>
    </w:p>
    <w:p w14:paraId="644DCF17" w14:textId="77777777" w:rsidR="00884952" w:rsidRDefault="00884952" w:rsidP="00BF7231">
      <w:pPr>
        <w:widowControl w:val="0"/>
        <w:spacing w:before="100" w:after="100" w:line="360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00000035" w14:textId="518F3D0D" w:rsidR="00B05B46" w:rsidRDefault="00614C4F" w:rsidP="00BF7231">
      <w:pPr>
        <w:widowControl w:val="0"/>
        <w:spacing w:before="100" w:after="100" w:line="360" w:lineRule="auto"/>
        <w:ind w:left="141" w:right="141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7F25EE24" w14:textId="338DA09B" w:rsidR="00934AFF" w:rsidRPr="005A6E16" w:rsidRDefault="00934AFF" w:rsidP="00BF7231">
      <w:pPr>
        <w:widowControl w:val="0"/>
        <w:spacing w:before="100" w:after="100" w:line="360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5A6E16">
        <w:rPr>
          <w:rFonts w:ascii="Helvetica Neue" w:eastAsia="Helvetica Neue" w:hAnsi="Helvetica Neue" w:cs="Helvetica Neue"/>
          <w:bCs/>
          <w:sz w:val="18"/>
          <w:szCs w:val="18"/>
        </w:rPr>
        <w:t xml:space="preserve">ALMEIDA, E. C. S. et al. Contextualização do ensino de química: motivando alunos de ensino médio. </w:t>
      </w:r>
      <w:r w:rsidRPr="005A6E16">
        <w:rPr>
          <w:rFonts w:ascii="Helvetica Neue" w:eastAsia="Helvetica Neue" w:hAnsi="Helvetica Neue" w:cs="Helvetica Neue"/>
          <w:b/>
          <w:sz w:val="18"/>
          <w:szCs w:val="18"/>
        </w:rPr>
        <w:t>XVI Encontro Nacional de Ensino de Química (XVI ENEQ) e X Encontro de Educação Química da Bahia (X EDUQUI)</w:t>
      </w:r>
      <w:r w:rsidRPr="005A6E16">
        <w:rPr>
          <w:rFonts w:ascii="Helvetica Neue" w:eastAsia="Helvetica Neue" w:hAnsi="Helvetica Neue" w:cs="Helvetica Neue"/>
          <w:bCs/>
          <w:sz w:val="18"/>
          <w:szCs w:val="18"/>
        </w:rPr>
        <w:t>, Salvador, BA, Brasil–17 a, v. 20, 2008.</w:t>
      </w:r>
    </w:p>
    <w:p w14:paraId="5B57338C" w14:textId="6C3171F0" w:rsidR="0004739A" w:rsidRPr="00934AFF" w:rsidRDefault="0004739A" w:rsidP="00BF7231">
      <w:pPr>
        <w:widowControl w:val="0"/>
        <w:spacing w:before="100" w:after="100" w:line="360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5A6E16">
        <w:rPr>
          <w:rFonts w:ascii="Helvetica Neue" w:eastAsia="Helvetica Neue" w:hAnsi="Helvetica Neue" w:cs="Helvetica Neue"/>
          <w:bCs/>
          <w:sz w:val="18"/>
          <w:szCs w:val="18"/>
        </w:rPr>
        <w:t xml:space="preserve">BRASIL. Ministério da Educação. Secretaria de Educação Média e Tecnológica. </w:t>
      </w:r>
      <w:r w:rsidRPr="00975465">
        <w:rPr>
          <w:rFonts w:ascii="Helvetica Neue" w:eastAsia="Helvetica Neue" w:hAnsi="Helvetica Neue" w:cs="Helvetica Neue"/>
          <w:b/>
          <w:sz w:val="18"/>
          <w:szCs w:val="18"/>
        </w:rPr>
        <w:t>Parâmetros Curriculares Nacionais: Ensino Médio.</w:t>
      </w:r>
      <w:r w:rsidRPr="005A6E16">
        <w:rPr>
          <w:rFonts w:ascii="Helvetica Neue" w:eastAsia="Helvetica Neue" w:hAnsi="Helvetica Neue" w:cs="Helvetica Neue"/>
          <w:bCs/>
          <w:sz w:val="18"/>
          <w:szCs w:val="18"/>
        </w:rPr>
        <w:t xml:space="preserve"> Brasília: Ministério da Educação, 2002.</w:t>
      </w:r>
    </w:p>
    <w:p w14:paraId="5773933D" w14:textId="463C5D1B" w:rsidR="00FD4965" w:rsidRDefault="00DC3954" w:rsidP="00FD4965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DC3954">
        <w:rPr>
          <w:rFonts w:ascii="Helvetica Neue" w:eastAsia="Helvetica Neue" w:hAnsi="Helvetica Neue" w:cs="Helvetica Neue"/>
          <w:sz w:val="18"/>
          <w:szCs w:val="18"/>
        </w:rPr>
        <w:t xml:space="preserve">BRASIL. </w:t>
      </w:r>
      <w:r w:rsidRPr="00975465">
        <w:rPr>
          <w:rFonts w:ascii="Helvetica Neue" w:eastAsia="Helvetica Neue" w:hAnsi="Helvetica Neue" w:cs="Helvetica Neue"/>
          <w:b/>
          <w:bCs/>
          <w:sz w:val="18"/>
          <w:szCs w:val="18"/>
        </w:rPr>
        <w:t>Parâmetro Curriculares Nacionais para o Ensino Médio. Secretaria de Educação Básica</w:t>
      </w:r>
      <w:r w:rsidRPr="00DC3954">
        <w:rPr>
          <w:rFonts w:ascii="Helvetica Neue" w:eastAsia="Helvetica Neue" w:hAnsi="Helvetica Neue" w:cs="Helvetica Neue"/>
          <w:sz w:val="18"/>
          <w:szCs w:val="18"/>
        </w:rPr>
        <w:t>. – Brasília: Ministério da Educação, Secretaria de Educação Básica, 2000.</w:t>
      </w:r>
    </w:p>
    <w:p w14:paraId="5898820C" w14:textId="44FE197F" w:rsidR="00E72594" w:rsidRDefault="00E72594" w:rsidP="00BF7231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72594">
        <w:rPr>
          <w:rFonts w:ascii="Helvetica Neue" w:eastAsia="Helvetica Neue" w:hAnsi="Helvetica Neue" w:cs="Helvetica Neue"/>
          <w:sz w:val="18"/>
          <w:szCs w:val="18"/>
        </w:rPr>
        <w:t>FAZENDA, I. Integração e interdisciplinaridade no ensino brasileiro: efetividade ou ideologia. São Paulo, Loyola, 1979.</w:t>
      </w:r>
    </w:p>
    <w:p w14:paraId="72448859" w14:textId="685836FB" w:rsidR="00FA1AF0" w:rsidRDefault="00FA1AF0" w:rsidP="00BF7231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A1AF0">
        <w:rPr>
          <w:rFonts w:ascii="Helvetica Neue" w:eastAsia="Helvetica Neue" w:hAnsi="Helvetica Neue" w:cs="Helvetica Neue"/>
          <w:sz w:val="18"/>
          <w:szCs w:val="18"/>
        </w:rPr>
        <w:t xml:space="preserve">KRAISIG, Ângela Renata; BRAIBANTE, Mara Elisa Fortes; PAZINATO, Maurícius Selvero. </w:t>
      </w:r>
      <w:r w:rsidRPr="004C181E">
        <w:rPr>
          <w:rFonts w:ascii="Helvetica Neue" w:eastAsia="Helvetica Neue" w:hAnsi="Helvetica Neue" w:cs="Helvetica Neue"/>
          <w:sz w:val="18"/>
          <w:szCs w:val="18"/>
        </w:rPr>
        <w:t xml:space="preserve">Concepções dos acadêmicos de licenciatura de Ciências da Natureza sobre o tema Cores e processos de Ensino e aprendizagem. </w:t>
      </w:r>
      <w:r w:rsidRPr="00934AFF">
        <w:rPr>
          <w:rFonts w:ascii="Helvetica Neue" w:eastAsia="Helvetica Neue" w:hAnsi="Helvetica Neue" w:cs="Helvetica Neue"/>
          <w:b/>
          <w:bCs/>
          <w:sz w:val="18"/>
          <w:szCs w:val="18"/>
        </w:rPr>
        <w:t>Revista Eletrônica de Extensão da URI</w:t>
      </w:r>
      <w:r w:rsidRPr="00FA1AF0">
        <w:rPr>
          <w:rFonts w:ascii="Helvetica Neue" w:eastAsia="Helvetica Neue" w:hAnsi="Helvetica Neue" w:cs="Helvetica Neue"/>
          <w:sz w:val="18"/>
          <w:szCs w:val="18"/>
        </w:rPr>
        <w:t xml:space="preserve">, Vol. 13, n. 25, p. 67-78, out. 2017. </w:t>
      </w:r>
    </w:p>
    <w:p w14:paraId="78E7896E" w14:textId="373E7613" w:rsidR="00E72594" w:rsidRDefault="00E72594" w:rsidP="00BF7231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72594">
        <w:rPr>
          <w:rFonts w:ascii="Helvetica Neue" w:eastAsia="Helvetica Neue" w:hAnsi="Helvetica Neue" w:cs="Helvetica Neue"/>
          <w:sz w:val="18"/>
          <w:szCs w:val="18"/>
        </w:rPr>
        <w:t xml:space="preserve">KRAISIG, Ângela Renata; ROCHA, Thaís Rios; BRAIBANTE, Mara Elisa. Abordagem da temática “cores” em um minicurso para estudantes dos cursos técnico e licenciatura em Química. </w:t>
      </w:r>
      <w:r w:rsidRPr="00934AFF">
        <w:rPr>
          <w:rFonts w:ascii="Helvetica Neue" w:eastAsia="Helvetica Neue" w:hAnsi="Helvetica Neue" w:cs="Helvetica Neue"/>
          <w:b/>
          <w:bCs/>
          <w:sz w:val="18"/>
          <w:szCs w:val="18"/>
        </w:rPr>
        <w:t>Revista Debates em Ensino de Química</w:t>
      </w:r>
      <w:r w:rsidRPr="00E72594">
        <w:rPr>
          <w:rFonts w:ascii="Helvetica Neue" w:eastAsia="Helvetica Neue" w:hAnsi="Helvetica Neue" w:cs="Helvetica Neue"/>
          <w:sz w:val="18"/>
          <w:szCs w:val="18"/>
        </w:rPr>
        <w:t>, v. 4, n. 2, fev. 2020.</w:t>
      </w:r>
    </w:p>
    <w:p w14:paraId="464F6C63" w14:textId="50CEDF7E" w:rsidR="004C1877" w:rsidRPr="004C1877" w:rsidRDefault="00152BF0" w:rsidP="004C1877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152BF0">
        <w:rPr>
          <w:rFonts w:ascii="Helvetica Neue" w:eastAsia="Helvetica Neue" w:hAnsi="Helvetica Neue" w:cs="Helvetica Neue"/>
          <w:sz w:val="18"/>
          <w:szCs w:val="18"/>
        </w:rPr>
        <w:t xml:space="preserve">MARTINS, H. H. T de S. </w:t>
      </w:r>
      <w:r w:rsidRPr="004C181E">
        <w:rPr>
          <w:rFonts w:ascii="Helvetica Neue" w:eastAsia="Helvetica Neue" w:hAnsi="Helvetica Neue" w:cs="Helvetica Neue"/>
          <w:b/>
          <w:bCs/>
          <w:sz w:val="18"/>
          <w:szCs w:val="18"/>
        </w:rPr>
        <w:t>Metodologia qualitativa de pesquisa</w:t>
      </w:r>
      <w:r w:rsidRPr="00152BF0">
        <w:rPr>
          <w:rFonts w:ascii="Helvetica Neue" w:eastAsia="Helvetica Neue" w:hAnsi="Helvetica Neue" w:cs="Helvetica Neue"/>
          <w:sz w:val="18"/>
          <w:szCs w:val="18"/>
        </w:rPr>
        <w:t xml:space="preserve">. Educação e Pesquisa, v. 30, n.2, p. 289-300, maio/ago. 2004. Disponível em:http://www.scielo.br/pdf/%0D/ep/v30n2/v30n2a07.pdf. Acesso em: </w:t>
      </w:r>
      <w:r w:rsidR="000273CC">
        <w:rPr>
          <w:rFonts w:ascii="Helvetica Neue" w:eastAsia="Helvetica Neue" w:hAnsi="Helvetica Neue" w:cs="Helvetica Neue"/>
          <w:sz w:val="18"/>
          <w:szCs w:val="18"/>
        </w:rPr>
        <w:t>06</w:t>
      </w:r>
      <w:r w:rsidRPr="00152BF0">
        <w:rPr>
          <w:rFonts w:ascii="Helvetica Neue" w:eastAsia="Helvetica Neue" w:hAnsi="Helvetica Neue" w:cs="Helvetica Neue"/>
          <w:sz w:val="18"/>
          <w:szCs w:val="18"/>
        </w:rPr>
        <w:t>/0</w:t>
      </w:r>
      <w:r w:rsidR="004C181E">
        <w:rPr>
          <w:rFonts w:ascii="Helvetica Neue" w:eastAsia="Helvetica Neue" w:hAnsi="Helvetica Neue" w:cs="Helvetica Neue"/>
          <w:sz w:val="18"/>
          <w:szCs w:val="18"/>
        </w:rPr>
        <w:t>8</w:t>
      </w:r>
      <w:r w:rsidRPr="00152BF0">
        <w:rPr>
          <w:rFonts w:ascii="Helvetica Neue" w:eastAsia="Helvetica Neue" w:hAnsi="Helvetica Neue" w:cs="Helvetica Neue"/>
          <w:sz w:val="18"/>
          <w:szCs w:val="18"/>
        </w:rPr>
        <w:t>/20</w:t>
      </w:r>
      <w:r w:rsidR="004C181E">
        <w:rPr>
          <w:rFonts w:ascii="Helvetica Neue" w:eastAsia="Helvetica Neue" w:hAnsi="Helvetica Neue" w:cs="Helvetica Neue"/>
          <w:sz w:val="18"/>
          <w:szCs w:val="18"/>
        </w:rPr>
        <w:t>21</w:t>
      </w:r>
      <w:r w:rsidRPr="00152BF0">
        <w:rPr>
          <w:rFonts w:ascii="Helvetica Neue" w:eastAsia="Helvetica Neue" w:hAnsi="Helvetica Neue" w:cs="Helvetica Neue"/>
          <w:sz w:val="18"/>
          <w:szCs w:val="18"/>
        </w:rPr>
        <w:cr/>
      </w:r>
      <w:r w:rsidR="00E72594" w:rsidRPr="00E72594">
        <w:rPr>
          <w:rFonts w:ascii="Helvetica Neue" w:eastAsia="Helvetica Neue" w:hAnsi="Helvetica Neue" w:cs="Helvetica Neue"/>
          <w:sz w:val="18"/>
          <w:szCs w:val="18"/>
        </w:rPr>
        <w:t xml:space="preserve">MATOS, K. S. L.; LERCHE, S. V. </w:t>
      </w:r>
      <w:r w:rsidR="00E72594" w:rsidRPr="000F555A">
        <w:rPr>
          <w:rFonts w:ascii="Helvetica Neue" w:eastAsia="Helvetica Neue" w:hAnsi="Helvetica Neue" w:cs="Helvetica Neue"/>
          <w:b/>
          <w:bCs/>
          <w:sz w:val="18"/>
          <w:szCs w:val="18"/>
        </w:rPr>
        <w:t>Pesquisa educacional: o prazer de conhecer</w:t>
      </w:r>
      <w:r w:rsidR="00E72594" w:rsidRPr="00E72594">
        <w:rPr>
          <w:rFonts w:ascii="Helvetica Neue" w:eastAsia="Helvetica Neue" w:hAnsi="Helvetica Neue" w:cs="Helvetica Neue"/>
          <w:sz w:val="18"/>
          <w:szCs w:val="18"/>
        </w:rPr>
        <w:t>. Fortaleza: Demócrito Rocha, 2001.</w:t>
      </w:r>
      <w:r w:rsidR="004C187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C1877" w:rsidRPr="005A6E16">
        <w:rPr>
          <w:rFonts w:ascii="Helvetica Neue" w:eastAsia="Helvetica Neue" w:hAnsi="Helvetica Neue" w:cs="Helvetica Neue"/>
          <w:sz w:val="18"/>
          <w:szCs w:val="18"/>
        </w:rPr>
        <w:t xml:space="preserve">MOZENA, E. R.; OSTERMANN, F. Integração curricular por áreas com extinção das disciplinas no Ensino Médio: uma preocupante realidade não respaldada pela pesquisa em ensino de física. </w:t>
      </w:r>
      <w:r w:rsidR="004C1877" w:rsidRPr="005A6E16">
        <w:rPr>
          <w:rFonts w:ascii="Helvetica Neue" w:eastAsia="Helvetica Neue" w:hAnsi="Helvetica Neue" w:cs="Helvetica Neue"/>
          <w:b/>
          <w:bCs/>
          <w:sz w:val="18"/>
          <w:szCs w:val="18"/>
        </w:rPr>
        <w:t>Revista Brasileira de Ensino de Física</w:t>
      </w:r>
      <w:r w:rsidR="004C1877" w:rsidRPr="005A6E16">
        <w:rPr>
          <w:rFonts w:ascii="Helvetica Neue" w:eastAsia="Helvetica Neue" w:hAnsi="Helvetica Neue" w:cs="Helvetica Neue"/>
          <w:sz w:val="18"/>
          <w:szCs w:val="18"/>
        </w:rPr>
        <w:t>, São Paulo, v. 36, n. 1, 1403, 2014.</w:t>
      </w:r>
    </w:p>
    <w:p w14:paraId="6D6CFA0E" w14:textId="77777777" w:rsidR="004C1877" w:rsidRPr="00E72594" w:rsidRDefault="004C1877" w:rsidP="004C1877">
      <w:pPr>
        <w:widowControl w:val="0"/>
        <w:spacing w:line="360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75E799DD" w14:textId="58DC0739" w:rsidR="00E72594" w:rsidRDefault="00E72594" w:rsidP="00BF7231">
      <w:pPr>
        <w:widowControl w:val="0"/>
        <w:spacing w:line="360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E72594">
      <w:headerReference w:type="default" r:id="rId7"/>
      <w:footerReference w:type="default" r:id="rId8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24E" w14:textId="77777777" w:rsidR="000A0C37" w:rsidRDefault="000A0C37">
      <w:r>
        <w:separator/>
      </w:r>
    </w:p>
  </w:endnote>
  <w:endnote w:type="continuationSeparator" w:id="0">
    <w:p w14:paraId="0CC108E7" w14:textId="77777777" w:rsidR="000A0C37" w:rsidRDefault="000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B05B46" w:rsidRDefault="00B05B4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00003B" w14:textId="77777777" w:rsidR="00B05B46" w:rsidRDefault="00614C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88546D9" wp14:editId="2BFBF642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2FAE" w14:textId="77777777" w:rsidR="000A0C37" w:rsidRDefault="000A0C37">
      <w:r>
        <w:separator/>
      </w:r>
    </w:p>
  </w:footnote>
  <w:footnote w:type="continuationSeparator" w:id="0">
    <w:p w14:paraId="31EFA54D" w14:textId="77777777" w:rsidR="000A0C37" w:rsidRDefault="000A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05B46" w:rsidRDefault="00614C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75DC89C" wp14:editId="13E5F8C5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B3B"/>
    <w:multiLevelType w:val="multilevel"/>
    <w:tmpl w:val="FFFFFFFF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80C1596"/>
    <w:multiLevelType w:val="multilevel"/>
    <w:tmpl w:val="FFFFFFFF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4522E1"/>
    <w:multiLevelType w:val="multilevel"/>
    <w:tmpl w:val="FFFFFFFF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46"/>
    <w:rsid w:val="00001427"/>
    <w:rsid w:val="000273CC"/>
    <w:rsid w:val="0004739A"/>
    <w:rsid w:val="00055017"/>
    <w:rsid w:val="00076973"/>
    <w:rsid w:val="0008682E"/>
    <w:rsid w:val="00096AC6"/>
    <w:rsid w:val="000A0C37"/>
    <w:rsid w:val="000A7B0A"/>
    <w:rsid w:val="000D369E"/>
    <w:rsid w:val="000D3DF3"/>
    <w:rsid w:val="000D3F9E"/>
    <w:rsid w:val="000E4E87"/>
    <w:rsid w:val="000F555A"/>
    <w:rsid w:val="00125F42"/>
    <w:rsid w:val="00152BF0"/>
    <w:rsid w:val="00154901"/>
    <w:rsid w:val="001706E0"/>
    <w:rsid w:val="00173CB2"/>
    <w:rsid w:val="0017650F"/>
    <w:rsid w:val="00194005"/>
    <w:rsid w:val="001A2488"/>
    <w:rsid w:val="0022080D"/>
    <w:rsid w:val="00225996"/>
    <w:rsid w:val="002315AF"/>
    <w:rsid w:val="00235F2C"/>
    <w:rsid w:val="002D2199"/>
    <w:rsid w:val="002D5836"/>
    <w:rsid w:val="00344415"/>
    <w:rsid w:val="00352A57"/>
    <w:rsid w:val="00363B6F"/>
    <w:rsid w:val="003D02DF"/>
    <w:rsid w:val="003D60CC"/>
    <w:rsid w:val="003E23D1"/>
    <w:rsid w:val="0040723F"/>
    <w:rsid w:val="00414A6C"/>
    <w:rsid w:val="00473FED"/>
    <w:rsid w:val="00482E33"/>
    <w:rsid w:val="004B0084"/>
    <w:rsid w:val="004B03AD"/>
    <w:rsid w:val="004B618F"/>
    <w:rsid w:val="004C181E"/>
    <w:rsid w:val="004C1877"/>
    <w:rsid w:val="004C3C25"/>
    <w:rsid w:val="004C4EA6"/>
    <w:rsid w:val="004D3F92"/>
    <w:rsid w:val="005A0291"/>
    <w:rsid w:val="005A347E"/>
    <w:rsid w:val="005A6E16"/>
    <w:rsid w:val="005C0B01"/>
    <w:rsid w:val="005C2550"/>
    <w:rsid w:val="005E183D"/>
    <w:rsid w:val="006061A9"/>
    <w:rsid w:val="00613E5C"/>
    <w:rsid w:val="00614C4F"/>
    <w:rsid w:val="00620BC9"/>
    <w:rsid w:val="00622A68"/>
    <w:rsid w:val="00636548"/>
    <w:rsid w:val="00662260"/>
    <w:rsid w:val="006854AE"/>
    <w:rsid w:val="00686846"/>
    <w:rsid w:val="00696B51"/>
    <w:rsid w:val="006B744C"/>
    <w:rsid w:val="006D0811"/>
    <w:rsid w:val="00710EF8"/>
    <w:rsid w:val="00730C96"/>
    <w:rsid w:val="0074534B"/>
    <w:rsid w:val="0076334B"/>
    <w:rsid w:val="00797A89"/>
    <w:rsid w:val="007A0914"/>
    <w:rsid w:val="007C11CC"/>
    <w:rsid w:val="00847848"/>
    <w:rsid w:val="008660F4"/>
    <w:rsid w:val="008830C4"/>
    <w:rsid w:val="00884952"/>
    <w:rsid w:val="00891ACE"/>
    <w:rsid w:val="008E1B57"/>
    <w:rsid w:val="0091481F"/>
    <w:rsid w:val="00934AFF"/>
    <w:rsid w:val="009359A3"/>
    <w:rsid w:val="009369A4"/>
    <w:rsid w:val="00937A48"/>
    <w:rsid w:val="00961211"/>
    <w:rsid w:val="00975465"/>
    <w:rsid w:val="009B7C7B"/>
    <w:rsid w:val="009E06B2"/>
    <w:rsid w:val="00A00C55"/>
    <w:rsid w:val="00A04230"/>
    <w:rsid w:val="00A512F6"/>
    <w:rsid w:val="00A66E59"/>
    <w:rsid w:val="00A70826"/>
    <w:rsid w:val="00A938D4"/>
    <w:rsid w:val="00AB1D0E"/>
    <w:rsid w:val="00B05B46"/>
    <w:rsid w:val="00B220E8"/>
    <w:rsid w:val="00B440E0"/>
    <w:rsid w:val="00B739A9"/>
    <w:rsid w:val="00B92904"/>
    <w:rsid w:val="00B96307"/>
    <w:rsid w:val="00BC373D"/>
    <w:rsid w:val="00BF68FB"/>
    <w:rsid w:val="00BF7231"/>
    <w:rsid w:val="00C13426"/>
    <w:rsid w:val="00C263EE"/>
    <w:rsid w:val="00C91A7B"/>
    <w:rsid w:val="00CA399B"/>
    <w:rsid w:val="00CB309E"/>
    <w:rsid w:val="00CC7D7A"/>
    <w:rsid w:val="00D00CF6"/>
    <w:rsid w:val="00D33415"/>
    <w:rsid w:val="00D54BA9"/>
    <w:rsid w:val="00D55795"/>
    <w:rsid w:val="00D62367"/>
    <w:rsid w:val="00D86DE7"/>
    <w:rsid w:val="00D91627"/>
    <w:rsid w:val="00DA0A87"/>
    <w:rsid w:val="00DA40DB"/>
    <w:rsid w:val="00DA49CF"/>
    <w:rsid w:val="00DB17B9"/>
    <w:rsid w:val="00DC3954"/>
    <w:rsid w:val="00DD5C56"/>
    <w:rsid w:val="00DD756A"/>
    <w:rsid w:val="00DE0CFA"/>
    <w:rsid w:val="00E03AD6"/>
    <w:rsid w:val="00E31FEB"/>
    <w:rsid w:val="00E459FC"/>
    <w:rsid w:val="00E67AB5"/>
    <w:rsid w:val="00E72219"/>
    <w:rsid w:val="00E72594"/>
    <w:rsid w:val="00E7366E"/>
    <w:rsid w:val="00E97142"/>
    <w:rsid w:val="00E9793E"/>
    <w:rsid w:val="00EA626B"/>
    <w:rsid w:val="00EB2E24"/>
    <w:rsid w:val="00EC067F"/>
    <w:rsid w:val="00ED72DC"/>
    <w:rsid w:val="00ED78A1"/>
    <w:rsid w:val="00EE3222"/>
    <w:rsid w:val="00EF7A21"/>
    <w:rsid w:val="00F117D4"/>
    <w:rsid w:val="00F4114F"/>
    <w:rsid w:val="00F47150"/>
    <w:rsid w:val="00F55BFF"/>
    <w:rsid w:val="00F64CFE"/>
    <w:rsid w:val="00F7151C"/>
    <w:rsid w:val="00F93216"/>
    <w:rsid w:val="00FA1AF0"/>
    <w:rsid w:val="00FA5C99"/>
    <w:rsid w:val="00FC3B12"/>
    <w:rsid w:val="00FD39E1"/>
    <w:rsid w:val="00FD4965"/>
    <w:rsid w:val="00FE14E0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4F6B"/>
  <w15:docId w15:val="{49F2DEB2-7202-4954-BBA7-8A5E21A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736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714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714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94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40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40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4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40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18F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B9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 Correia</cp:lastModifiedBy>
  <cp:revision>66</cp:revision>
  <dcterms:created xsi:type="dcterms:W3CDTF">2021-08-07T20:11:00Z</dcterms:created>
  <dcterms:modified xsi:type="dcterms:W3CDTF">2021-10-15T15:09:00Z</dcterms:modified>
</cp:coreProperties>
</file>