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1915" w14:textId="77777777" w:rsidR="0062427F" w:rsidRDefault="003E0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Criar Direito: Jogo educativo como recurso didático para área jurídica</w:t>
      </w:r>
    </w:p>
    <w:p w14:paraId="25641C90" w14:textId="77777777" w:rsidR="0062427F" w:rsidRDefault="003E0E57">
      <w:pPr>
        <w:widowControl w:val="0"/>
        <w:spacing w:before="240" w:after="240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BRUNA A. T. DE LIMA (IFPB, Campus Avançado Cabedelo Centro), KATUCHA K. M. PEREIRA (IFPB, Campus Avançado Cabedelo Centro), THAIS C. MACHADO (IFPB, Campus Avançado Cabedelo Centro)</w:t>
      </w:r>
    </w:p>
    <w:p w14:paraId="0CA88360" w14:textId="77777777" w:rsidR="0062427F" w:rsidRDefault="006242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37C4C328" w14:textId="77777777" w:rsidR="0062427F" w:rsidRDefault="003E0E57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E-mails: </w:t>
      </w:r>
      <w:r>
        <w:rPr>
          <w:rFonts w:ascii="Helvetica Neue" w:eastAsia="Helvetica Neue" w:hAnsi="Helvetica Neue" w:cs="Helvetica Neue"/>
          <w:sz w:val="16"/>
          <w:szCs w:val="16"/>
        </w:rPr>
        <w:t>bruna.lima@ifpb.edu.br, katucha.pereira@ifpb.edu.br, thais.chianc</w:t>
      </w:r>
      <w:r>
        <w:rPr>
          <w:rFonts w:ascii="Helvetica Neue" w:eastAsia="Helvetica Neue" w:hAnsi="Helvetica Neue" w:cs="Helvetica Neue"/>
          <w:sz w:val="16"/>
          <w:szCs w:val="16"/>
        </w:rPr>
        <w:t>a@academico.ifpb.edu.br.</w:t>
      </w:r>
    </w:p>
    <w:p w14:paraId="127FA1BD" w14:textId="77777777" w:rsidR="0062427F" w:rsidRDefault="003E0E57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Área de conhecimento: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7.08.00.00-6 – Educação.</w:t>
      </w:r>
    </w:p>
    <w:p w14:paraId="456C78B9" w14:textId="77777777" w:rsidR="0062427F" w:rsidRDefault="003E0E57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sz w:val="16"/>
          <w:szCs w:val="16"/>
        </w:rPr>
        <w:t>:  TDICs; jogos educativos; direito do idoso; direito da criança e do adolescente.</w:t>
      </w:r>
    </w:p>
    <w:p w14:paraId="6D60195C" w14:textId="77777777" w:rsidR="0062427F" w:rsidRDefault="006242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AB9DB8E" w14:textId="77777777" w:rsidR="0062427F" w:rsidRDefault="003E0E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6728973F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Diante do cenário de educação que temos no momento, a inserção da tecnologia passou a ser uma realidade, e não apenas uma necessidade. Entretanto, </w:t>
      </w:r>
      <w:r>
        <w:rPr>
          <w:rFonts w:ascii="Helvetica Neue" w:eastAsia="Helvetica Neue" w:hAnsi="Helvetica Neue" w:cs="Helvetica Neue"/>
          <w:sz w:val="18"/>
          <w:szCs w:val="18"/>
        </w:rPr>
        <w:t>“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como lidar com es</w:t>
      </w:r>
      <w:r>
        <w:rPr>
          <w:rFonts w:ascii="Helvetica Neue" w:eastAsia="Helvetica Neue" w:hAnsi="Helvetica Neue" w:cs="Helvetica Neue"/>
          <w:sz w:val="18"/>
          <w:szCs w:val="18"/>
        </w:rPr>
        <w:t>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 novos instrumentos?</w:t>
      </w:r>
      <w:r>
        <w:rPr>
          <w:rFonts w:ascii="Helvetica Neue" w:eastAsia="Helvetica Neue" w:hAnsi="Helvetica Neue" w:cs="Helvetica Neue"/>
          <w:sz w:val="18"/>
          <w:szCs w:val="18"/>
        </w:rPr>
        <w:t>”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um questionamento </w:t>
      </w:r>
      <w:r>
        <w:rPr>
          <w:rFonts w:ascii="Helvetica Neue" w:eastAsia="Helvetica Neue" w:hAnsi="Helvetica Neue" w:cs="Helvetica Neue"/>
          <w:sz w:val="18"/>
          <w:szCs w:val="18"/>
        </w:rPr>
        <w:t>feito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por docentes e discentes todos os dias.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Para docentes, a falta de formação na área é um fator dificultante, visto que, na maioria dos casos, não há formação em tecnologias para a educação nos cursos de formação para professores. No âmbito dos Institutos Federais, como os professores podem ser ad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vindos das licenciaturas ou dos bacharelados, o problema se alarga, quando a lacuna em formação para a aprendizagem é maior naqueles que só têm bacharelado.</w:t>
      </w:r>
    </w:p>
    <w:p w14:paraId="1B3F42BA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578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Já para os alunos, compreender que a mesma internet que é utilizada para filmes, jogos e lazer de f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orma geral, pode ser utilizada como instrumento de aprendizagem também não é tarefa fácil. Ainda, 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daptar os instrumentos de aprendizagem e usar a tecnologia é igualmente estranho para os alunos, assim como para os docentes.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64EF9031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área de estudo dos cursos </w:t>
      </w:r>
      <w:r>
        <w:rPr>
          <w:rFonts w:ascii="Helvetica Neue" w:eastAsia="Helvetica Neue" w:hAnsi="Helvetica Neue" w:cs="Helvetica Neue"/>
          <w:sz w:val="18"/>
          <w:szCs w:val="18"/>
        </w:rPr>
        <w:t>t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écnicos em Serviços Jurídicos, alguns estudantes apresentam dificuldade em compreender alguns conceitos ou vinculá-los a situações práticas. Para tanto, a gamificação será utilizada como principal estratégia de ensino-aprendizagem. Através do uso de jogos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espera-se aumentar a interação e o interesse dos alunos nas disciplinas da área jurídica, comumente descritas como chatas e enfadonhas por alguns deles. </w:t>
      </w:r>
    </w:p>
    <w:p w14:paraId="557B9199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Neste sentido, o presente projeto de pesquisa intenciona avaliar o uso da tecnologia nas salas de aula </w:t>
      </w:r>
      <w:r>
        <w:rPr>
          <w:rFonts w:ascii="Helvetica Neue" w:eastAsia="Helvetica Neue" w:hAnsi="Helvetica Neue" w:cs="Helvetica Neue"/>
          <w:sz w:val="18"/>
          <w:szCs w:val="18"/>
        </w:rPr>
        <w:t>dos cursos técnicos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Serviços Jurídicos do Campus Avan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çado Cabedelo Centro (CACC) do Instituto Federal da Paraíba (IFPB),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 um jogo didático. Optou-s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 por utilizar o Scratch enquanto plataforma para criação do jogo, e o produto final versará sobre temáticas na área jurídica, especificamente o Direito do Idoso e Direito da Criança e do Adolescente.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estudo em tela propõe uma intervenção pedagógica que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culmine numa reflexão das práticas pedagógicas por educadores e numa possibilidade viável de estímulo à aprendizagem mais didática e dinâmica, expandindo a perspectiva da sala de aula como espaço de interação, experimentação e possibilidades.</w:t>
      </w:r>
    </w:p>
    <w:p w14:paraId="008D86B5" w14:textId="77777777" w:rsidR="0062427F" w:rsidRDefault="003E0E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5075855A" w14:textId="77777777" w:rsidR="0062427F" w:rsidRDefault="003E0E57" w:rsidP="00117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pesquisa é desenvolvida por equipe formada pelas professoras responsáveis pela orientação e co-orientação e por uma discente bolsista. A princípio, foi realizada uma revisão bibliográfica no intuito de compreender os temas transversai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 que regem o estudo. Para isso, foi necessário investigar como o uso de TDICs têm impactado o sistema de ensino-aprendizagem, mais especificamente em turmas do ensino médio e profissionalizante. Neste ínterim, fez-se possível também identificar quais plat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aformas vêm sendo aplicadas na gamificação e como essa solução tem sido utilizada no processo ensino-aprendizagem de adolescentes. Para tal, utilizamos as principais plataformas acadêmicas (Scielo, ERIC, Google Acadêmico, Portal Capes), além de livros físi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cos e digitais que versem sobre os assuntos. Em seguida, no intuito de embasar a criação do jogo, que será o produto final do projeto, buscamos compreender, também através da literatura disponível, conceitos fundantes e principais do Direito do Idoso e Dir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eito da Criança e do Adolescente.</w:t>
      </w:r>
    </w:p>
    <w:p w14:paraId="47899EFE" w14:textId="77777777" w:rsidR="0062427F" w:rsidRDefault="003E0E57" w:rsidP="00117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Após a consolidação da fundamentação teórica, a discente bolsista iniciou a criação do jogo propriamente dito, lançando mão da plataforma Scratch, do Instituto de Tecnologia de Massachusetts (MIT), disponível apenas para c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omputador. Ao final, o produto passou por uma fase de validação com um grupo de teste para a identificação de problemas e/ou erros. </w:t>
      </w:r>
    </w:p>
    <w:p w14:paraId="05A55EA7" w14:textId="76C44100" w:rsidR="0062427F" w:rsidRDefault="003E0E57" w:rsidP="00117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Inicialmente pensamos na aplicação final do jogo junto aos estudantes do curso Técnico Integrado em Serviços Jurídicos. Ass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im foi feito.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Contudo, em virtude da pandemia e da consequente dificuldade de acesso à internet e computadores, a resposta do corpo discente, que atualmente é composto por 107 (cento e sete) alunos, foi muito baixa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>(apenas 4 alunos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responderam ao formulári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o), de modo que surgiu a necessidade de mudança no público de aplicação antes pensado. Dessa maneira, após dilatar o prazo e lembrar os discentes em vários grupos de mensagem instantânea, foi expandi</w:t>
      </w:r>
      <w:r>
        <w:rPr>
          <w:rFonts w:ascii="Helvetica Neue" w:eastAsia="Helvetica Neue" w:hAnsi="Helvetica Neue" w:cs="Helvetica Neue"/>
          <w:sz w:val="18"/>
          <w:szCs w:val="18"/>
        </w:rPr>
        <w:t>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espectro de testagem para outras pessoas cursando ou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já tivessem cursado o ensino médio fora do Instituto. Por fim, tivemos apenas 12</w:t>
      </w:r>
      <w:r w:rsidR="0011766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(doze)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respondentes aos questionários. Esse momento de testagem foi realizado virtualmente, sem a necessidade de encontro presencial.</w:t>
      </w:r>
    </w:p>
    <w:p w14:paraId="342CE11E" w14:textId="77777777" w:rsidR="0062427F" w:rsidRDefault="003E0E57" w:rsidP="00117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78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Após jogar, os participantes responderam 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um questionário </w:t>
      </w:r>
      <w:r>
        <w:rPr>
          <w:rFonts w:ascii="Helvetica Neue" w:eastAsia="Helvetica Neue" w:hAnsi="Helvetica Neue" w:cs="Helvetica Neue"/>
          <w:sz w:val="18"/>
          <w:szCs w:val="18"/>
        </w:rPr>
        <w:t>semi estruturado,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através de formulário online, que os indagou sobre suas impressões acerca da utilidade e eficiência do jogo proposto, bem como possibilidades de melhoria.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38C51B6F" w14:textId="77777777" w:rsidR="0062427F" w:rsidRDefault="003E0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30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Foi imprescindível, a partir da pesquisa, diagnosticar se houve mu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danças de concepção sobre os temas propostos, bem como se o recurso realmente foi eficaz àquilo que se propôs.</w:t>
      </w:r>
    </w:p>
    <w:p w14:paraId="7CBA3B80" w14:textId="77777777" w:rsidR="0062427F" w:rsidRDefault="003E0E57" w:rsidP="001176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Nesse intuito, o questionário adotou como dimensões: (1) interface do jogo, (2) conhecimento envolvido e (3) utilidade em sala de aula. Cada uma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dessas dimensões pôde ser dividida em categorias como intuitividade, engajamento, interesse, evolução, conteúdo, conhecimento agregado, entre outros. Ao final, os dados coletados na pesquisa serão estruturados, tabulados e analisados quali-quantitativament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 no intuito de identificar os pontos cruciais de êxito e possíveis lacunas apresentadas pela solução.</w:t>
      </w:r>
    </w:p>
    <w:p w14:paraId="0F8996F6" w14:textId="77777777" w:rsidR="0062427F" w:rsidRDefault="003E0E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2C711FC7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Silva (2011) aponta para as mudanças na comunicação social que estão postas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atualmente. As novas práticas de comunicação e interação mediadas por dispositivos eletrônicos e através das redes são compreendidas como letramento digital, estando essa capacidade condicionada ao direito de acesso, máximo aproveitamento das potencialida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des das redes de informação e comunicação, e exercício pleno da cidadania digital. A inclusão digital, ou alfabetização digital, é um dos caminhos para a inclusão social, capaz de mitigar os efeitos de desigualdades sociais latentes ou, em seu inverso, de </w:t>
      </w:r>
      <w:r>
        <w:rPr>
          <w:rFonts w:ascii="Helvetica Neue" w:eastAsia="Helvetica Neue" w:hAnsi="Helvetica Neue" w:cs="Helvetica Neue"/>
          <w:sz w:val="18"/>
          <w:szCs w:val="18"/>
        </w:rPr>
        <w:t>aprofundar essas feridas sociais.</w:t>
      </w:r>
    </w:p>
    <w:p w14:paraId="0ADCE8EB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Crianças e adolescentes são capazes de, sob estímulo e exposição adequada, desenvolver suas múltiplas inteligências com interação com o meio. Desse modo, o construtivismo é uma corrente criada por Jean Piaget que pensa nes</w:t>
      </w:r>
      <w:r>
        <w:rPr>
          <w:rFonts w:ascii="Helvetica Neue" w:eastAsia="Helvetica Neue" w:hAnsi="Helvetica Neue" w:cs="Helvetica Neue"/>
          <w:sz w:val="18"/>
          <w:szCs w:val="18"/>
        </w:rPr>
        <w:t>se desenvolvimento com ênfase na forma como a criança aprende e como seu conhecimento é progressivo mediante processos de ensino dinâmicos e dialéticos, num método ativo onde o professor media e cria condições que favoreçam a construção do aprendizado (CAS</w:t>
      </w:r>
      <w:r>
        <w:rPr>
          <w:rFonts w:ascii="Helvetica Neue" w:eastAsia="Helvetica Neue" w:hAnsi="Helvetica Neue" w:cs="Helvetica Neue"/>
          <w:sz w:val="18"/>
          <w:szCs w:val="18"/>
        </w:rPr>
        <w:t>TRO, 2017).</w:t>
      </w:r>
    </w:p>
    <w:p w14:paraId="57E027C2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Enquanto isso, o construcionismo foi um termo derivado do construtivismo, criado por Seymour Papert, que prevê a interação com ferramentas – inclusive o computador – como forma de construção do conhecimento do aluno. Ao invés de um modelo instr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ucionista – onde o computador é utilizado como mais um recurso, visto que o formato das aulas permanece antiquado e o aluno continua apenas como expectador do conteúdo exposto –, o modelo proposto por ele apresenta a programação como um espaço que permite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ao aluno refletir, investigar, pensar em possíveis hipóteses para solução de problemas, testar e aprimorar suas ideias, se tornando protagonista na construção do seu próprio conhecimento. Papert desenvolveu, na década de 60, a linguagem LOGO para controle </w:t>
      </w:r>
      <w:r>
        <w:rPr>
          <w:rFonts w:ascii="Helvetica Neue" w:eastAsia="Helvetica Neue" w:hAnsi="Helvetica Neue" w:cs="Helvetica Neue"/>
          <w:sz w:val="18"/>
          <w:szCs w:val="18"/>
        </w:rPr>
        <w:t>de robôs na tela do computador. Nesta abordagem, erros são tentativas de acerto e, portanto, parte imprescindível do desenvolvimento cognitivo (CASTRO, 2017).</w:t>
      </w:r>
    </w:p>
    <w:p w14:paraId="4D6213A5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Resnick (2009) destaca que, nas décadas de 1970 e 1980, quando os primeiros computadores começara</w:t>
      </w:r>
      <w:r>
        <w:rPr>
          <w:rFonts w:ascii="Helvetica Neue" w:eastAsia="Helvetica Neue" w:hAnsi="Helvetica Neue" w:cs="Helvetica Neue"/>
          <w:sz w:val="18"/>
          <w:szCs w:val="18"/>
        </w:rPr>
        <w:t>m a ser introduzidos no cotidiano do cidadão comum, estudantes e professores empolgaram-se com as várias possibilidades de transformação nos processos de ensino e aprendizagem e no uso do dispositivo. Aliado a isso, havia o entusiasmo com a programação nas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linguagens LOGO e Basic. Contudo, apesar do uso do computador ter se tornado cada vez mais imprescindível, a programação em si ficou restrita a alguns segmentos da população.</w:t>
      </w:r>
    </w:p>
    <w:p w14:paraId="4698766F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No intuito de retomar a aproximação com a programação a partir do cotidiano infa</w:t>
      </w:r>
      <w:r>
        <w:rPr>
          <w:rFonts w:ascii="Helvetica Neue" w:eastAsia="Helvetica Neue" w:hAnsi="Helvetica Neue" w:cs="Helvetica Neue"/>
          <w:sz w:val="18"/>
          <w:szCs w:val="18"/>
        </w:rPr>
        <w:t>ntil e inspirada na linguagem LOGO, o software livre Scratch foi desenvolvido pelo grupo Lifelong Kindergarten, liderado por Mitchel Resnick, no Media Lab do Massachusetts Institute of Technology (MIT). Com uma interface gráfica facilitada para crianças, 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ua programação acontece através de blocos pré-programados. Estes, quando interconectados, geram certo tipo de reação em atores, cenários e sons. </w:t>
      </w:r>
    </w:p>
    <w:p w14:paraId="620463D4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É neste cenário de interação que os temas da área jurídica serão desenvolvidos. Comumente, as aulas da área ju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rídica são consideradas mais enfadonhas e pouco dinâmicas pelos discentes, que sentem falta de interação e interesse nas disciplinas. Assim, de forma geral, espera-se uma mudança no interesse dos alunos sobre as temáticas, a partir do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>uso dos jogos e da li</w:t>
      </w:r>
      <w:r>
        <w:rPr>
          <w:rFonts w:ascii="Helvetica Neue" w:eastAsia="Helvetica Neue" w:hAnsi="Helvetica Neue" w:cs="Helvetica Neue"/>
          <w:sz w:val="18"/>
          <w:szCs w:val="18"/>
        </w:rPr>
        <w:t>nguagem do scratch, promovendo maior interatividade e protagonismo nos discentes.</w:t>
      </w:r>
    </w:p>
    <w:p w14:paraId="5D769E3F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esperado sobre o jogo era disponibilizar uma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ferramenta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educativ</w:t>
      </w:r>
      <w:r>
        <w:rPr>
          <w:rFonts w:ascii="Helvetica Neue" w:eastAsia="Helvetica Neue" w:hAnsi="Helvetica Neue" w:cs="Helvetica Neue"/>
          <w:sz w:val="18"/>
          <w:szCs w:val="18"/>
        </w:rPr>
        <w:t>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 às turmas dos cursos técnicos do CACC/IFPB que fosse eficaz no aprendizado sobre temas pertinentes à área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 direito. </w:t>
      </w:r>
    </w:p>
    <w:p w14:paraId="2AA1B5BF" w14:textId="77777777" w:rsidR="0062427F" w:rsidRDefault="003E0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Todavia, em virtude da pandemia da Covid-19 e do baixo acesso dos estudantes a computadores e internet privados, somados à proibição sanitária de encontros presenciais para uso do laboratório de informática do </w:t>
      </w:r>
      <w:r>
        <w:rPr>
          <w:rFonts w:ascii="Helvetica Neue" w:eastAsia="Helvetica Neue" w:hAnsi="Helvetica Neue" w:cs="Helvetica Neue"/>
          <w:sz w:val="18"/>
          <w:szCs w:val="18"/>
        </w:rPr>
        <w:t>campus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foi necessário aumentar 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abrang</w:t>
      </w:r>
      <w:r>
        <w:rPr>
          <w:rFonts w:ascii="Helvetica Neue" w:eastAsia="Helvetica Neue" w:hAnsi="Helvetica Neue" w:cs="Helvetica Neue"/>
          <w:sz w:val="18"/>
          <w:szCs w:val="18"/>
        </w:rPr>
        <w:t>ência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grupo de aplicação do jogo didático, de modo que esse último se tornou direcionado à todos que já haviam concluído ou que estivessem cursando o ensino médio, mesmo não sendo do curso de Serviços Jurídicos. </w:t>
      </w:r>
    </w:p>
    <w:p w14:paraId="18C63894" w14:textId="77777777" w:rsidR="0062427F" w:rsidRDefault="003E0E5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78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 isso, tivemos 12 (doze) respostas ao questionário sobre o jogo. As respostas estão sob análise, mas o expectável é que o jogo tenha trazido mudanças de entendimento sobre os temas jurídicos apresentados, bem como se o recurso realmente foi eficaz àquil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que se propôs.</w:t>
      </w:r>
    </w:p>
    <w:p w14:paraId="07755797" w14:textId="77777777" w:rsidR="0062427F" w:rsidRDefault="003E0E57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3BADFCD2" w14:textId="77777777" w:rsidR="0062427F" w:rsidRDefault="003E0E57" w:rsidP="0011766B">
      <w:pPr>
        <w:widowControl w:val="0"/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 projeto ainda está em vias de finalização, tendo em vista que foi necessário expandir os prazos algumas vezes. Cabe dizer, entretanto, que os jogos desenvolvidos no Scratch demandam que o jogador os utilize através d</w:t>
      </w:r>
      <w:r>
        <w:rPr>
          <w:rFonts w:ascii="Helvetica Neue" w:eastAsia="Helvetica Neue" w:hAnsi="Helvetica Neue" w:cs="Helvetica Neue"/>
          <w:sz w:val="18"/>
          <w:szCs w:val="18"/>
        </w:rPr>
        <w:t>e um computador. Logo, devido à baixa quantidade de estudantes do ensino técnico integrado ao médio que dispõem desse dispositivo, o público-alvo foi ampliado e passou a incluir também os estudantes do curso subsequente. Ainda não atendendo às expectativas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traçadas para o projeto, ampliou-se mais uma vez o espectro, dessa vez para estudantes de ensino médio e pessoas que já tivessem terminado essa etapa escolar que se propusessem a testar os jogos e responder os questionários. Num momento posterior, as resp</w:t>
      </w:r>
      <w:r>
        <w:rPr>
          <w:rFonts w:ascii="Helvetica Neue" w:eastAsia="Helvetica Neue" w:hAnsi="Helvetica Neue" w:cs="Helvetica Neue"/>
          <w:sz w:val="18"/>
          <w:szCs w:val="18"/>
        </w:rPr>
        <w:t>ostas serão analisadas e será possível encontrar indícios sobre a eficácia ou não do método proposto através dos jogos educativos sobre o ECA e o Estatuto do Idoso.</w:t>
      </w:r>
    </w:p>
    <w:p w14:paraId="1CC8CA46" w14:textId="77777777" w:rsidR="0062427F" w:rsidRDefault="003E0E57" w:rsidP="0011766B">
      <w:pPr>
        <w:widowControl w:val="0"/>
        <w:spacing w:line="288" w:lineRule="auto"/>
        <w:ind w:left="141" w:right="141" w:firstLine="579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Foi possível perceber, além das limitações técnicas, uma dificuldade em engajar e motivar a</w:t>
      </w:r>
      <w:r>
        <w:rPr>
          <w:rFonts w:ascii="Helvetica Neue" w:eastAsia="Helvetica Neue" w:hAnsi="Helvetica Neue" w:cs="Helvetica Neue"/>
          <w:sz w:val="18"/>
          <w:szCs w:val="18"/>
        </w:rPr>
        <w:t>dolescentes a participarem da pesquisa. Talvez pela rotina extenuante de aulas remotas, talvez por certa desagregação que a falta de um manejo adequado com esse corpo estudantil possa ter causado diante do contexto atual, fato é que, dentre os estudantes d</w:t>
      </w:r>
      <w:r>
        <w:rPr>
          <w:rFonts w:ascii="Helvetica Neue" w:eastAsia="Helvetica Neue" w:hAnsi="Helvetica Neue" w:cs="Helvetica Neue"/>
          <w:sz w:val="18"/>
          <w:szCs w:val="18"/>
        </w:rPr>
        <w:t>o cursos em Serviços Jurídicos, fosse integrado ou subsequente, a adesão à participação na pesquisa foi baixa, não passando de 4 (quatro), quando o total de estudantes nas duas modalidades é superior a 100 (cem). Este é um cenário que precisa ser melhor an</w:t>
      </w:r>
      <w:r>
        <w:rPr>
          <w:rFonts w:ascii="Helvetica Neue" w:eastAsia="Helvetica Neue" w:hAnsi="Helvetica Neue" w:cs="Helvetica Neue"/>
          <w:sz w:val="18"/>
          <w:szCs w:val="18"/>
        </w:rPr>
        <w:t>alisado diante de outras atividades pela gestão, no intuito de reaproximar os discentes da cultura escolar.</w:t>
      </w:r>
    </w:p>
    <w:p w14:paraId="5E04ABEE" w14:textId="77777777" w:rsidR="0062427F" w:rsidRDefault="003E0E5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7444B4C1" w14:textId="77777777" w:rsidR="0062427F" w:rsidRDefault="003E0E57" w:rsidP="0011766B">
      <w:pPr>
        <w:widowControl w:val="0"/>
        <w:spacing w:line="288" w:lineRule="auto"/>
        <w:ind w:left="141" w:right="141" w:firstLine="579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À PRPIPG e CNPq.</w:t>
      </w:r>
    </w:p>
    <w:p w14:paraId="0AD75484" w14:textId="77777777" w:rsidR="0062427F" w:rsidRDefault="003E0E5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01D1FDEF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2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CASTRO, Adriane de; KOSCIANSKI, André. O uso da programação Scratch para o desenvolvimento de habilidades em crianças do ensino fundamental. Revista Tecnologias na educação, ano 9, vol. 19, jul. 2017. Disponível em:</w:t>
      </w:r>
      <w:hyperlink r:id="rId8">
        <w:r>
          <w:rPr>
            <w:rFonts w:ascii="Helvetica Neue" w:eastAsia="Helvetica Neue" w:hAnsi="Helvetica Neue" w:cs="Helvetica Neue"/>
            <w:sz w:val="18"/>
            <w:szCs w:val="18"/>
          </w:rPr>
          <w:t xml:space="preserve"> http://tecedu.pro.br/wp-content/uploads/2017/07/Rel1-vol19-julho2017.pdf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>. Acesso em: 07 ago. 2021.</w:t>
      </w:r>
    </w:p>
    <w:p w14:paraId="70077337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2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RESNICK et al. Scratch: Programming for All. Communications of the ACM, vol. 52, n. 11, DOI:10.1145/15927</w:t>
      </w:r>
      <w:r>
        <w:rPr>
          <w:rFonts w:ascii="Helvetica Neue" w:eastAsia="Helvetica Neue" w:hAnsi="Helvetica Neue" w:cs="Helvetica Neue"/>
          <w:sz w:val="18"/>
          <w:szCs w:val="18"/>
        </w:rPr>
        <w:t>61.1592779. Nov. 2009, p. 60-67. Disponível em:</w:t>
      </w:r>
      <w:hyperlink r:id="rId9">
        <w:r>
          <w:rPr>
            <w:rFonts w:ascii="Helvetica Neue" w:eastAsia="Helvetica Neue" w:hAnsi="Helvetica Neue" w:cs="Helvetica Neue"/>
            <w:sz w:val="18"/>
            <w:szCs w:val="18"/>
          </w:rPr>
          <w:t xml:space="preserve"> http://web.media.mit.edu/~mres/papers/Scratch-CACM-final.pdf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>. Acesso em: 07 ago. 2021.</w:t>
      </w:r>
    </w:p>
    <w:p w14:paraId="68DC0A6E" w14:textId="77777777" w:rsidR="0062427F" w:rsidRDefault="003E0E57" w:rsidP="001176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142" w:right="142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SILVA, Angela Carrancho da. Educação e Te</w:t>
      </w:r>
      <w:r>
        <w:rPr>
          <w:rFonts w:ascii="Helvetica Neue" w:eastAsia="Helvetica Neue" w:hAnsi="Helvetica Neue" w:cs="Helvetica Neue"/>
          <w:sz w:val="18"/>
          <w:szCs w:val="18"/>
        </w:rPr>
        <w:t>cnologia: Entre o discurso e a prática. Ensaio: aval. pol. públ. Educ., Rio de Janeiro, v. 19, n. 72, p. 527-554, jul./set. 2011. Disponível em: &lt;</w:t>
      </w:r>
      <w:hyperlink r:id="rId10">
        <w:r>
          <w:rPr>
            <w:rFonts w:ascii="Helvetica Neue" w:eastAsia="Helvetica Neue" w:hAnsi="Helvetica Neue" w:cs="Helvetica Neue"/>
            <w:sz w:val="18"/>
            <w:szCs w:val="18"/>
          </w:rPr>
          <w:t>https://www.scielo.br/pdf/ensaio/v19n</w:t>
        </w:r>
        <w:r>
          <w:rPr>
            <w:rFonts w:ascii="Helvetica Neue" w:eastAsia="Helvetica Neue" w:hAnsi="Helvetica Neue" w:cs="Helvetica Neue"/>
            <w:sz w:val="18"/>
            <w:szCs w:val="18"/>
          </w:rPr>
          <w:t>72/a05v19n72.pdf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>&gt;. Acesso em: 07 ago. 2021.</w:t>
      </w:r>
    </w:p>
    <w:sectPr w:rsidR="0062427F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0870" w14:textId="77777777" w:rsidR="003E0E57" w:rsidRDefault="003E0E57">
      <w:r>
        <w:separator/>
      </w:r>
    </w:p>
  </w:endnote>
  <w:endnote w:type="continuationSeparator" w:id="0">
    <w:p w14:paraId="239B71F7" w14:textId="77777777" w:rsidR="003E0E57" w:rsidRDefault="003E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993C" w14:textId="77777777" w:rsidR="0062427F" w:rsidRDefault="0062427F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51B98F7A" w14:textId="77777777" w:rsidR="0062427F" w:rsidRDefault="003E0E5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6D59A358" wp14:editId="22DC65C0">
          <wp:extent cx="7481888" cy="626656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379" t="-65366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2117" w14:textId="77777777" w:rsidR="003E0E57" w:rsidRDefault="003E0E57">
      <w:r>
        <w:separator/>
      </w:r>
    </w:p>
  </w:footnote>
  <w:footnote w:type="continuationSeparator" w:id="0">
    <w:p w14:paraId="2A48757C" w14:textId="77777777" w:rsidR="003E0E57" w:rsidRDefault="003E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41D7" w14:textId="77777777" w:rsidR="0062427F" w:rsidRDefault="003E0E5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77A26111" wp14:editId="2B72C76E">
          <wp:extent cx="7548563" cy="81116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6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2D0"/>
    <w:multiLevelType w:val="multilevel"/>
    <w:tmpl w:val="1C62285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2950C8F"/>
    <w:multiLevelType w:val="multilevel"/>
    <w:tmpl w:val="D50CB7B4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7F"/>
    <w:rsid w:val="0011766B"/>
    <w:rsid w:val="003E0E57"/>
    <w:rsid w:val="006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2E80"/>
  <w15:docId w15:val="{7653C296-7277-4A80-BEC5-730364F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F47A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47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6A08"/>
    <w:pPr>
      <w:spacing w:before="100" w:beforeAutospacing="1" w:after="100" w:afterAutospacing="1"/>
    </w:pPr>
    <w:rPr>
      <w:lang w:val="en-GB"/>
    </w:rPr>
  </w:style>
  <w:style w:type="character" w:styleId="TextodoEspaoReservado">
    <w:name w:val="Placeholder Text"/>
    <w:basedOn w:val="Fontepargpadro"/>
    <w:uiPriority w:val="99"/>
    <w:semiHidden/>
    <w:rsid w:val="004D4EB7"/>
    <w:rPr>
      <w:color w:val="808080"/>
    </w:rPr>
  </w:style>
  <w:style w:type="paragraph" w:styleId="PargrafodaLista">
    <w:name w:val="List Paragraph"/>
    <w:basedOn w:val="Normal"/>
    <w:uiPriority w:val="34"/>
    <w:qFormat/>
    <w:rsid w:val="0089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edu.pro.br/wp-content/uploads/2017/07/Rel1-vol19-julho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lo.br/pdf/ensaio/v19n72/a05v19n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media.mit.edu/~mres/papers/Scratch-CACM-fin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qtoFRqNOo4Bc5NvO0YiD6Zp1Q==">AMUW2mUEEwvZ/m0DsUf0VL7hd6BERe3AD7PMCbBDcccnyH/r/O3a5MpAE3U+hAxGd8hWTnVga6pGyeeIJEBY0T1RlzR/eN1a0vPSYfoMIrs4dP0YM/bYqUE=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2039</Words>
  <Characters>11013</Characters>
  <Application>Microsoft Office Word</Application>
  <DocSecurity>0</DocSecurity>
  <Lines>91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Bruna Lima</cp:lastModifiedBy>
  <cp:revision>2</cp:revision>
  <dcterms:created xsi:type="dcterms:W3CDTF">2021-08-03T12:41:00Z</dcterms:created>
  <dcterms:modified xsi:type="dcterms:W3CDTF">2021-10-14T11:49:00Z</dcterms:modified>
</cp:coreProperties>
</file>