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3988" w14:textId="77777777" w:rsidR="00ED40B2" w:rsidRDefault="00ED40B2" w:rsidP="00766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ANÁLISE DE ALGORITMOS DE ALGORITMOS DE CLASSIFICAÇÃO PARA IDENTIFICAÇÃO DE IRREGULARIDADES NO SISTEMA ELÉTRICO DE DISTRIBUIÇÃO</w:t>
      </w:r>
    </w:p>
    <w:p w14:paraId="6C99FE54" w14:textId="0EA60299" w:rsidR="008D6285" w:rsidRDefault="008D6285" w:rsidP="00766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1BE6D0B" w14:textId="52EB6991" w:rsidR="00ED2738" w:rsidRDefault="00ED2738" w:rsidP="00ED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PEDRO LOBO MEDEIROS (IFPB, Campus Cajazeiras)</w:t>
      </w:r>
    </w:p>
    <w:p w14:paraId="2C3DCC19" w14:textId="77777777" w:rsidR="00ED2738" w:rsidRDefault="00ED2738" w:rsidP="00ED27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ABEDA3E" w14:textId="77777777" w:rsidR="008D6285" w:rsidRDefault="00AD6D65" w:rsidP="00766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E-mail: </w:t>
      </w:r>
      <w:r w:rsidR="00ED40B2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joao.lobo@academico.ifpb.edu.br.</w:t>
      </w:r>
    </w:p>
    <w:p w14:paraId="36C774EF" w14:textId="77777777" w:rsidR="008D6285" w:rsidRDefault="00AD6D65" w:rsidP="00766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ED40B2">
        <w:rPr>
          <w:rFonts w:ascii="Helvetica Neue" w:eastAsia="Helvetica Neue" w:hAnsi="Helvetica Neue" w:cs="Helvetica Neue"/>
          <w:color w:val="000000"/>
          <w:sz w:val="16"/>
          <w:szCs w:val="16"/>
        </w:rPr>
        <w:t>3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.0</w:t>
      </w:r>
      <w:r w:rsidR="00ED40B2">
        <w:rPr>
          <w:rFonts w:ascii="Helvetica Neue" w:eastAsia="Helvetica Neue" w:hAnsi="Helvetica Neue" w:cs="Helvetica Neue"/>
          <w:color w:val="000000"/>
          <w:sz w:val="16"/>
          <w:szCs w:val="16"/>
        </w:rPr>
        <w:t>4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.0</w:t>
      </w:r>
      <w:r w:rsidR="00ED40B2">
        <w:rPr>
          <w:rFonts w:ascii="Helvetica Neue" w:eastAsia="Helvetica Neue" w:hAnsi="Helvetica Neue" w:cs="Helvetica Neue"/>
          <w:color w:val="000000"/>
          <w:sz w:val="16"/>
          <w:szCs w:val="16"/>
        </w:rPr>
        <w:t>0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.0</w:t>
      </w:r>
      <w:r w:rsidR="00ED40B2">
        <w:rPr>
          <w:rFonts w:ascii="Helvetica Neue" w:eastAsia="Helvetica Neue" w:hAnsi="Helvetica Neue" w:cs="Helvetica Neue"/>
          <w:color w:val="000000"/>
          <w:sz w:val="16"/>
          <w:szCs w:val="16"/>
        </w:rPr>
        <w:t>0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-</w:t>
      </w:r>
      <w:r w:rsidR="00ED40B2">
        <w:rPr>
          <w:rFonts w:ascii="Helvetica Neue" w:eastAsia="Helvetica Neue" w:hAnsi="Helvetica Neue" w:cs="Helvetica Neue"/>
          <w:color w:val="000000"/>
          <w:sz w:val="16"/>
          <w:szCs w:val="16"/>
        </w:rPr>
        <w:t>7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ED40B2">
        <w:rPr>
          <w:rFonts w:ascii="Helvetica Neue" w:eastAsia="Helvetica Neue" w:hAnsi="Helvetica Neue" w:cs="Helvetica Neue"/>
          <w:color w:val="000000"/>
          <w:sz w:val="16"/>
          <w:szCs w:val="16"/>
        </w:rPr>
        <w:t>Engenharia Elétrica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1CDDCAB2" w14:textId="77777777" w:rsidR="008D6285" w:rsidRDefault="00AD6D65" w:rsidP="00766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ED40B2" w:rsidRPr="00ED40B2">
        <w:rPr>
          <w:rFonts w:ascii="Helvetica Neue" w:eastAsia="Helvetica Neue" w:hAnsi="Helvetica Neue" w:cs="Helvetica Neue"/>
          <w:i/>
          <w:iCs/>
          <w:color w:val="000000"/>
          <w:sz w:val="16"/>
          <w:szCs w:val="16"/>
        </w:rPr>
        <w:t>Machine Learning</w:t>
      </w:r>
      <w:r w:rsidR="00ED40B2" w:rsidRPr="00ED40B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Perda Não Técnica de Energia, </w:t>
      </w:r>
      <w:r w:rsidR="00ED40B2" w:rsidRPr="00ED40B2">
        <w:rPr>
          <w:rFonts w:ascii="Helvetica Neue" w:eastAsia="Helvetica Neue" w:hAnsi="Helvetica Neue" w:cs="Helvetica Neue"/>
          <w:i/>
          <w:iCs/>
          <w:color w:val="000000"/>
          <w:sz w:val="16"/>
          <w:szCs w:val="16"/>
        </w:rPr>
        <w:t>Random Forest</w:t>
      </w:r>
      <w:r w:rsidR="00ED40B2" w:rsidRPr="00ED40B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e </w:t>
      </w:r>
      <w:r w:rsidR="00ED40B2" w:rsidRPr="00ED40B2">
        <w:rPr>
          <w:rFonts w:ascii="Helvetica Neue" w:eastAsia="Helvetica Neue" w:hAnsi="Helvetica Neue" w:cs="Helvetica Neue"/>
          <w:i/>
          <w:iCs/>
          <w:color w:val="000000"/>
          <w:sz w:val="16"/>
          <w:szCs w:val="16"/>
        </w:rPr>
        <w:t>Multilayer Perceptron</w:t>
      </w:r>
    </w:p>
    <w:p w14:paraId="03B5C84A" w14:textId="77777777" w:rsidR="008D6285" w:rsidRDefault="008D6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FD16625" w14:textId="77777777" w:rsidR="008D6285" w:rsidRDefault="00AD6D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E635EFB" w14:textId="77777777" w:rsidR="00866351" w:rsidRPr="00866351" w:rsidRDefault="00866351" w:rsidP="00866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63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perdas de energia elétrica são um dos principais problemas das distribuidoras de energia tanto no Brasil como no mundo. Estas perdas podem ser divididas em dois tipos: a perda técnica e perda não técnica (PNT). A perda técnica tem origem em causas naturais, como o efeito Joule nos condutores e a magnetização dos transformadores. Já as PNTs ocorrem por causa de falhas no sistema de medição dos consumidores. As perdas não técnicas representam uma redução significativa no </w:t>
      </w:r>
      <w:proofErr w:type="spellStart"/>
      <w:r w:rsidRPr="00866351">
        <w:rPr>
          <w:rFonts w:ascii="Helvetica Neue" w:eastAsia="Helvetica Neue" w:hAnsi="Helvetica Neue" w:cs="Helvetica Neue"/>
          <w:color w:val="000000"/>
          <w:sz w:val="18"/>
          <w:szCs w:val="18"/>
        </w:rPr>
        <w:t>faturamento</w:t>
      </w:r>
      <w:proofErr w:type="spellEnd"/>
      <w:r w:rsidRPr="008663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das distribuidoras. Segundo a Agência Nacional de Energia Elétrica (ANEEL), em 2019, as perdas não técnicas corresponderam a 6,44% da energia injetada no sistema elétrico do país, o que representa um custo de aproximadamente R$ 7,4 bilhões, o qual é parcialmente rateado para os consumidores regulares do sistema.</w:t>
      </w:r>
    </w:p>
    <w:p w14:paraId="253F9FB9" w14:textId="77777777" w:rsidR="00866351" w:rsidRPr="00866351" w:rsidRDefault="00866351" w:rsidP="00866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6351">
        <w:rPr>
          <w:rFonts w:ascii="Helvetica Neue" w:eastAsia="Helvetica Neue" w:hAnsi="Helvetica Neue" w:cs="Helvetica Neue"/>
          <w:color w:val="000000"/>
          <w:sz w:val="18"/>
          <w:szCs w:val="18"/>
        </w:rPr>
        <w:t>Em função do cenário descrito no parágrafo anterior, todas as distribuidoras de energia elétrica possuem departamentos específicos para o combate a esse tipo de irregularidade. A principal ação realizada para o combate as PNTs são inspeções ostensivas nas unidades consumidoras. Porém, existe um desafio para as distribuidoras nessa tarefa, o qual consiste na identificação prévia dos consumidores com PNT. Visto que cada inspeção possui um custo operacional para ser realizada, sempre que a inspeção é realizada e não há identificação de PNT, existirá um prejuízo para a concessionária.</w:t>
      </w:r>
    </w:p>
    <w:p w14:paraId="1EDC2638" w14:textId="6BB98EFD" w:rsidR="0077509E" w:rsidRPr="006467AC" w:rsidRDefault="00866351" w:rsidP="00866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6351">
        <w:rPr>
          <w:rFonts w:ascii="Helvetica Neue" w:eastAsia="Helvetica Neue" w:hAnsi="Helvetica Neue" w:cs="Helvetica Neue"/>
          <w:color w:val="000000"/>
          <w:sz w:val="18"/>
          <w:szCs w:val="18"/>
        </w:rPr>
        <w:t>A partir do desafio citado, é possível encontrar diferentes trabalhos na bibliografia correlata ao tema em que são aplicados diferentes algoritmos de classificação para a identificação de PNT, contudo, não há um concesso sobre qual a melhor técnica</w:t>
      </w:r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como por exemplo, o estudo realizado por </w:t>
      </w:r>
      <w:proofErr w:type="spellStart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>Figueroa</w:t>
      </w:r>
      <w:proofErr w:type="spellEnd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>et</w:t>
      </w:r>
      <w:proofErr w:type="spellEnd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al. (2017)</w:t>
      </w:r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onde </w:t>
      </w:r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>o algoritmo que obteve o melhor desempenho foi o MLP, com 65% na curva AUC, 13% no MCC e 14% na F1-</w:t>
      </w:r>
      <w:r w:rsidR="00201BE8" w:rsidRPr="00201BE8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Outro estudo que vale a pena ser citado é o realizado por </w:t>
      </w:r>
      <w:proofErr w:type="spellStart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>Ghori</w:t>
      </w:r>
      <w:proofErr w:type="spellEnd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>et</w:t>
      </w:r>
      <w:proofErr w:type="spellEnd"/>
      <w:r w:rsidR="00201BE8" w:rsidRP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al. (2020)</w:t>
      </w:r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onde o algoritmo </w:t>
      </w:r>
      <w:r w:rsidR="00201BE8" w:rsidRPr="00201BE8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="00201BE8" w:rsidRPr="00201BE8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obteve um valor de 0,982 na métrica F1-</w:t>
      </w:r>
      <w:r w:rsidR="00201BE8" w:rsidRPr="00201BE8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="00201BE8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</w:t>
      </w:r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o MLP obteve um valor de 0,994 na métrica de sensibilidade. </w:t>
      </w:r>
      <w:r w:rsidRPr="00866351">
        <w:rPr>
          <w:rFonts w:ascii="Helvetica Neue" w:eastAsia="Helvetica Neue" w:hAnsi="Helvetica Neue" w:cs="Helvetica Neue"/>
          <w:color w:val="000000"/>
          <w:sz w:val="18"/>
          <w:szCs w:val="18"/>
        </w:rPr>
        <w:t>Neste contexto, o presente trabalho tem como objetivo analisar diferentes algoritmos de classificação quando aplicados na identificação de irregularidades no sistema elétrico de distribuição. A partir dos resultados do trabalho, será possível contribuir com as distribuidoras de energia para uma maior efetividade nas inspeções e em outras ações de combate às PNTs, resultando em um menor custo operacional e uma maior recuperação de energia por parte da distribuidora.</w:t>
      </w:r>
    </w:p>
    <w:p w14:paraId="7EB2F88C" w14:textId="77777777" w:rsidR="008D6285" w:rsidRPr="006467AC" w:rsidRDefault="00AD6D65" w:rsidP="007920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32F61AA1" w14:textId="77A14394" w:rsidR="00517885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Os algoritmos utilizados no estudo foram:</w:t>
      </w:r>
      <w:r w:rsid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Árvores de Decisão, o </w:t>
      </w:r>
      <w:r w:rsidR="00860CFF"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Gradient Boosting</w:t>
      </w:r>
      <w:r w:rsid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,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MultiLayer Perceptron</w:t>
      </w:r>
      <w:r w:rsid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</w:t>
      </w:r>
      <w:r w:rsidR="006467AC">
        <w:rPr>
          <w:rFonts w:ascii="Helvetica Neue" w:eastAsia="Helvetica Neue" w:hAnsi="Helvetica Neue" w:cs="Helvetica Neue"/>
          <w:color w:val="000000"/>
          <w:sz w:val="18"/>
          <w:szCs w:val="18"/>
        </w:rPr>
        <w:t>(MLP)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 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860CFF"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árvores de decisão foram treinadas usando um número mínimo de 10 recordes por nó e com 200 números de tópicos. O </w:t>
      </w:r>
      <w:r w:rsidR="00860CFF"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Gradient Boosting</w:t>
      </w:r>
      <w:r w:rsidR="00860CFF"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foi treinado com 8 níveis de profundidade da floresta, 250 modelos e uma taxa de aprendizagem de 0,1. O MPL foi treinado com um número máximo de 200 interações, 5 camadas ocultas com 10 neurónios por camada e o </w:t>
      </w:r>
      <w:r w:rsidR="00860CFF"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="00860CFF"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="00860CFF"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, foi treinado utilizando 100 árvores de decisão na execução do modelo. Estes parâmetros são valores típicos encontrados na literatura e adotados como referência no estudo realizado.</w:t>
      </w:r>
      <w:r w:rsidR="00201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base de dados utilizada no estudo foi obtida em contato com uma distribuidora d</w:t>
      </w:r>
      <w:r w:rsidR="004710D7">
        <w:rPr>
          <w:rFonts w:ascii="Helvetica Neue" w:eastAsia="Helvetica Neue" w:hAnsi="Helvetica Neue" w:cs="Helvetica Neue"/>
          <w:color w:val="000000"/>
          <w:sz w:val="18"/>
          <w:szCs w:val="18"/>
        </w:rPr>
        <w:t>o setor elétrico do país, que pediu confidencialidade para preservar sua integridade.</w:t>
      </w:r>
      <w:r w:rsid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a implementação dos algoritmos de classificação, é utilizado a plataforma KNIME® 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Analytics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O KNIME® é uma solução para análise avançada de dados desenvolvida pela Universidade de Constança na Alemanha e distribuído gratuitamente na modalidade 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Open Source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 plataforma possui bibliotecas pré-instaladas com os principais algoritmos utilizados na área de ciência de dados, o que possibilita uma maior praticidade na implementação dos algoritmos na etapa de testes. Além disso, a ferramenta é do tipo 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point-and-click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ou seja, exime programação mínima, o que torna seu uso simples. Uma imagem da plataforma KNIME® é apresentada na Figura </w:t>
      </w:r>
      <w:r w:rsidR="005C09AF"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2668716D" w14:textId="77777777" w:rsidR="00517885" w:rsidRPr="006467AC" w:rsidRDefault="0007533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hAnsi="Helvetica Neue"/>
          <w:noProof/>
          <w:sz w:val="18"/>
          <w:szCs w:val="18"/>
        </w:rPr>
        <w:lastRenderedPageBreak/>
        <w:drawing>
          <wp:inline distT="0" distB="0" distL="0" distR="0" wp14:anchorId="070C4537" wp14:editId="2A8AFDD2">
            <wp:extent cx="2557145" cy="1082040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1B66" w14:textId="77777777" w:rsidR="00517885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Fonte: KNIME® Analytics (2021)</w:t>
      </w:r>
    </w:p>
    <w:p w14:paraId="572BBF64" w14:textId="77777777" w:rsidR="00517885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</w:t>
      </w:r>
      <w:r w:rsidR="005C09AF"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: KNIME 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Analytics Platafform</w:t>
      </w:r>
    </w:p>
    <w:p w14:paraId="445A4707" w14:textId="77777777" w:rsidR="00517885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Após a aplicação dos algoritmos, os resultados são comparados a partir de métricas de desempenho pré-estabelecidas, as quais são derivadas da matriz de confusão</w:t>
      </w:r>
      <w:r w:rsidR="006A2C3E"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6467AC"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92064" w:rsidRPr="00792064">
        <w:rPr>
          <w:rFonts w:ascii="Helvetica Neue" w:eastAsia="Helvetica Neue" w:hAnsi="Helvetica Neue" w:cs="Helvetica Neue"/>
          <w:color w:val="000000"/>
          <w:sz w:val="18"/>
          <w:szCs w:val="18"/>
        </w:rPr>
        <w:t>A matriz de confusão é uma representação útil do resultado da classificação de dados, pois, a partir dela é possível comparar os valores reais (de referência) com aqueles que foram indicados pelo algoritmo de classificação para cada estado previsto</w:t>
      </w:r>
      <w:r w:rsidR="0079206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métricas de desempenho mais apropriadas para a avaliação um problema de classificação binária, como o caso em questão são: sensibilidade e precisão, as quais são definidas na sequência: </w:t>
      </w:r>
    </w:p>
    <w:p w14:paraId="5663C05E" w14:textId="6FF57236" w:rsidR="00517885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Sensibilidade: É a porcentagem de irregularidades reconhecidas pelo algoritmo em comparação ao total de irregularidades existentes.</w:t>
      </w:r>
    </w:p>
    <w:p w14:paraId="4BD7B468" w14:textId="3B7125DF" w:rsidR="00517885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Precisão: É a taxa de acerto dos casos identificados como irregularidade pelo algoritmo.</w:t>
      </w:r>
    </w:p>
    <w:p w14:paraId="2D30E6F4" w14:textId="77777777" w:rsidR="0059657F" w:rsidRPr="006467AC" w:rsidRDefault="00517885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As métricas sensibilidade e precisão são inversamente proporcionais, por isso, o desafio de um bom classificador é obter valores elevados para ambas as métricas simultaneamente. Uma forma de se avaliar o resultado da classificação em termos das duas métricas simultaneamente é por meio da métrica F1-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, a qual é definhada como a média harmônica da -sensibilidade e da precisão, como expresso na Equação (1)</w:t>
      </w:r>
    </w:p>
    <w:p w14:paraId="4818EB11" w14:textId="77777777" w:rsidR="006467AC" w:rsidRPr="006467AC" w:rsidRDefault="005965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02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m:oMath>
        <m:r>
          <w:rPr>
            <w:rFonts w:ascii="Cambria Math" w:eastAsia="Helvetica Neue" w:hAnsi="Cambria Math" w:cs="Helvetica Neue"/>
            <w:sz w:val="18"/>
            <w:szCs w:val="18"/>
          </w:rPr>
          <m:t>F1-score =2×</m:t>
        </m:r>
        <m:f>
          <m:fPr>
            <m:ctrlPr>
              <w:rPr>
                <w:rFonts w:ascii="Cambria Math" w:eastAsia="Helvetica Neue" w:hAnsi="Cambria Math" w:cs="Helvetica Neue"/>
                <w:i/>
                <w:sz w:val="18"/>
                <w:szCs w:val="18"/>
              </w:rPr>
            </m:ctrlPr>
          </m:fPr>
          <m:num>
            <m:d>
              <m:dPr>
                <m:ctrlPr>
                  <w:rPr>
                    <w:rFonts w:ascii="Cambria Math" w:eastAsia="Helvetica Neue" w:hAnsi="Cambria Math" w:cs="Helvetica Neue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="Helvetica Neue" w:hAnsi="Cambria Math" w:cs="Helvetica Neue"/>
                    <w:sz w:val="18"/>
                    <w:szCs w:val="18"/>
                  </w:rPr>
                  <m:t>sensibilidade ×precisão</m:t>
                </m:r>
              </m:e>
            </m:d>
          </m:num>
          <m:den>
            <m:r>
              <w:rPr>
                <w:rFonts w:ascii="Cambria Math" w:eastAsia="Helvetica Neue" w:hAnsi="Cambria Math" w:cs="Helvetica Neue"/>
                <w:sz w:val="18"/>
                <w:szCs w:val="18"/>
              </w:rPr>
              <m:t>sensibilidade+precisão</m:t>
            </m:r>
          </m:den>
        </m:f>
      </m:oMath>
      <w:r w:rsidRPr="006467AC">
        <w:rPr>
          <w:rFonts w:ascii="Helvetica Neue" w:eastAsia="Helvetica Neue" w:hAnsi="Helvetica Neue" w:cs="Helvetica Neue"/>
          <w:sz w:val="18"/>
          <w:szCs w:val="18"/>
        </w:rPr>
        <w:t xml:space="preserve">                                                             </w:t>
      </w:r>
      <w:r w:rsidR="005C09AF" w:rsidRPr="006467AC">
        <w:rPr>
          <w:rFonts w:ascii="Helvetica Neue" w:eastAsia="Helvetica Neue" w:hAnsi="Helvetica Neue" w:cs="Helvetica Neue"/>
          <w:sz w:val="18"/>
          <w:szCs w:val="18"/>
        </w:rPr>
        <w:t>(1)</w:t>
      </w:r>
      <w:r w:rsidR="00792064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7EFECF80" w14:textId="77777777" w:rsidR="0007317F" w:rsidRPr="006467AC" w:rsidRDefault="00AD6D65" w:rsidP="007920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106B6A06" w14:textId="014116C7" w:rsidR="0007317F" w:rsidRPr="006467AC" w:rsidRDefault="00860CF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comparação dos resultados obtidos para os dois algoritmos demonstra que o MLP apresentou o melhor desempenho de acordo com a métrica de sensibilidade, indicando que o método teve uma boa cobertura na </w:t>
      </w:r>
      <w:proofErr w:type="spellStart"/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detecção</w:t>
      </w:r>
      <w:proofErr w:type="spellEnd"/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consumidores com perda não técnica existentes na base de dados. Adicionalmente, os valores de sensibilidade para os dois métodos são comparados no gráfico da 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07317F"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3CF19DC" w14:textId="396B7B82" w:rsidR="0007317F" w:rsidRPr="006467AC" w:rsidRDefault="00860CF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bCs/>
          <w:noProof/>
          <w:sz w:val="20"/>
          <w:szCs w:val="20"/>
        </w:rPr>
        <w:drawing>
          <wp:inline distT="0" distB="0" distL="0" distR="0" wp14:anchorId="6B6E0D0E" wp14:editId="5DFC0C67">
            <wp:extent cx="3275881" cy="1967346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82" cy="200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FD0CF" w14:textId="77777777" w:rsidR="0007317F" w:rsidRPr="006467AC" w:rsidRDefault="000731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Fonte: Autoria própria</w:t>
      </w:r>
    </w:p>
    <w:p w14:paraId="4E9A5E67" w14:textId="77777777" w:rsidR="0007317F" w:rsidRPr="006467AC" w:rsidRDefault="000731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</w:t>
      </w:r>
      <w:r w:rsidR="00792064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Comparação da sensibilidade entre os algoritmos.</w:t>
      </w:r>
    </w:p>
    <w:p w14:paraId="13248105" w14:textId="42739BCC" w:rsidR="0007317F" w:rsidRPr="006467AC" w:rsidRDefault="00860CF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Com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 ser notado no gráfico da 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 sensibilidade do método 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MultiLayer Perceptron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superior à dos demais algoritmos. Contudo, quando a comparação dos resultados é realizada a partir da métrica precisão, pode-se observar que o melhor resultado foi obtido pelo método 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como apresentado no gráfico da 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3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7A7649FF" w14:textId="0C64CDD0" w:rsidR="0007317F" w:rsidRPr="006467AC" w:rsidRDefault="00860CF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2386035" wp14:editId="340CD221">
            <wp:extent cx="3479742" cy="1932709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44E0A0C4-6688-4AE4-AE9D-3E471E59DF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01A9C8" w14:textId="77777777" w:rsidR="0007317F" w:rsidRPr="006467AC" w:rsidRDefault="000731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Fonte: Autoria própria</w:t>
      </w:r>
    </w:p>
    <w:p w14:paraId="05DB3819" w14:textId="77777777" w:rsidR="0007317F" w:rsidRPr="006467AC" w:rsidRDefault="000731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</w:t>
      </w:r>
      <w:r w:rsidR="00792064">
        <w:rPr>
          <w:rFonts w:ascii="Helvetica Neue" w:eastAsia="Helvetica Neue" w:hAnsi="Helvetica Neue" w:cs="Helvetica Neue"/>
          <w:color w:val="000000"/>
          <w:sz w:val="18"/>
          <w:szCs w:val="18"/>
        </w:rPr>
        <w:t>3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Comparação da precisão entre os algoritmos.</w:t>
      </w:r>
    </w:p>
    <w:p w14:paraId="5DE5F4DA" w14:textId="4BFCD73C" w:rsidR="00860CFF" w:rsidRPr="00860CFF" w:rsidRDefault="00860CFF" w:rsidP="00860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Como pode ser observado na 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3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 precisão do método 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melhor que a dos demais algoritmos, o que demonstra que o método 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apresentou uma quantidade menor de indicações falso-positivas.</w:t>
      </w:r>
    </w:p>
    <w:p w14:paraId="1BE031B7" w14:textId="1350A29E" w:rsidR="0007317F" w:rsidRPr="006467AC" w:rsidRDefault="00860CFF" w:rsidP="00860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A partir da análise apresentada para as métricas precisão e sensibilidade ainda não é possível determinar qual o método com melhor resultado geral, dado que para cada uma delas um método diferente foi superior. Assim, torna-se útil a análise a partir da métrica F1-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, que apresentado anteriormente consiste na média harmônica da precisão e da sensibilidade. O resultado do F1-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os dois algoritmos é apresentado na 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2E00AB5" w14:textId="19F15E90" w:rsidR="0007317F" w:rsidRPr="006467AC" w:rsidRDefault="00860CF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BC585FD" wp14:editId="4403CAEC">
            <wp:extent cx="3578340" cy="2050184"/>
            <wp:effectExtent l="0" t="0" r="0" b="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4B962B90-372E-4A25-BA3B-DCEFA9C776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077155" w14:textId="77777777" w:rsidR="0007317F" w:rsidRPr="006467AC" w:rsidRDefault="000731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Fonte: Autoria própria</w:t>
      </w:r>
    </w:p>
    <w:p w14:paraId="0093B0D6" w14:textId="77777777" w:rsidR="0007317F" w:rsidRPr="006467AC" w:rsidRDefault="0007317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</w:t>
      </w:r>
      <w:r w:rsidR="00792064"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Comparação da F1-</w:t>
      </w:r>
      <w:r w:rsidRPr="006467AC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entre os algoritmos.</w:t>
      </w:r>
    </w:p>
    <w:p w14:paraId="3CF3BBE3" w14:textId="16F0148A" w:rsidR="00517885" w:rsidRPr="006467AC" w:rsidRDefault="00860CFF" w:rsidP="00792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Como pode ser observado na Figura </w:t>
      </w:r>
      <w:r w:rsidR="00ED2738"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>, o algoritmo MLP apresentou um valor de F1-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score</w:t>
      </w:r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superior aos demais algoritmos. Dessa forma, é possível concluir que o algoritmo MLP apresentou o melhor resultado na identificação da perda não técnica na base de dados em questão, quando comparado ao algoritmo </w:t>
      </w:r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Random </w:t>
      </w:r>
      <w:proofErr w:type="spellStart"/>
      <w:r w:rsidRPr="00860CF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Forest</w:t>
      </w:r>
      <w:proofErr w:type="spellEnd"/>
      <w:r w:rsidRPr="00860C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foi melhor na precisão</w:t>
      </w:r>
      <w:r w:rsidR="0007317F" w:rsidRPr="006467AC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D7BCB81" w14:textId="77777777" w:rsidR="008D6285" w:rsidRPr="006467AC" w:rsidRDefault="00AD6D65" w:rsidP="00792064">
      <w:pPr>
        <w:widowControl w:val="0"/>
        <w:numPr>
          <w:ilvl w:val="0"/>
          <w:numId w:val="1"/>
        </w:numPr>
        <w:spacing w:before="240" w:after="240" w:line="276" w:lineRule="auto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6467AC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0CF28939" w14:textId="77777777" w:rsidR="00C52A69" w:rsidRPr="00C52A69" w:rsidRDefault="00C52A69" w:rsidP="00C52A69">
      <w:pPr>
        <w:widowControl w:val="0"/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C52A69">
        <w:rPr>
          <w:rFonts w:ascii="Helvetica Neue" w:eastAsia="Helvetica Neue" w:hAnsi="Helvetica Neue" w:cs="Helvetica Neue"/>
          <w:sz w:val="18"/>
          <w:szCs w:val="18"/>
        </w:rPr>
        <w:t xml:space="preserve">Foram avaliados no trabalhado o desempenho dos algoritmos de classificação: árvores de decisão, </w:t>
      </w:r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>Gradient Boosting</w:t>
      </w:r>
      <w:r w:rsidRPr="00C52A69">
        <w:rPr>
          <w:rFonts w:ascii="Helvetica Neue" w:eastAsia="Helvetica Neue" w:hAnsi="Helvetica Neue" w:cs="Helvetica Neue"/>
          <w:sz w:val="18"/>
          <w:szCs w:val="18"/>
        </w:rPr>
        <w:t xml:space="preserve">, MLP e o </w:t>
      </w:r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Random </w:t>
      </w:r>
      <w:proofErr w:type="spellStart"/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>Forest</w:t>
      </w:r>
      <w:proofErr w:type="spellEnd"/>
      <w:r w:rsidRPr="00C52A69">
        <w:rPr>
          <w:rFonts w:ascii="Helvetica Neue" w:eastAsia="Helvetica Neue" w:hAnsi="Helvetica Neue" w:cs="Helvetica Neue"/>
          <w:sz w:val="18"/>
          <w:szCs w:val="18"/>
        </w:rPr>
        <w:t xml:space="preserve"> para a identificação da PNT em uma base de consumidores do sistema elétrico de distribuição. Como métricas de avaliação foram utilizadas a sensibilidade, a precisão e o F1-</w:t>
      </w:r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>score</w:t>
      </w:r>
      <w:r w:rsidRPr="00C52A69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2A37D267" w14:textId="58800506" w:rsidR="00A85C4F" w:rsidRPr="006467AC" w:rsidRDefault="00C52A69" w:rsidP="00C52A69">
      <w:pPr>
        <w:widowControl w:val="0"/>
        <w:spacing w:line="276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C52A69">
        <w:rPr>
          <w:rFonts w:ascii="Helvetica Neue" w:eastAsia="Helvetica Neue" w:hAnsi="Helvetica Neue" w:cs="Helvetica Neue"/>
          <w:sz w:val="18"/>
          <w:szCs w:val="18"/>
        </w:rPr>
        <w:t>A partir dos resultados alcançados é possível concluir que o algoritmo MLP apresentou o melhor desempenho, com um valor de F1-</w:t>
      </w:r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>score</w:t>
      </w:r>
      <w:r w:rsidRPr="00C52A69">
        <w:rPr>
          <w:rFonts w:ascii="Helvetica Neue" w:eastAsia="Helvetica Neue" w:hAnsi="Helvetica Neue" w:cs="Helvetica Neue"/>
          <w:sz w:val="18"/>
          <w:szCs w:val="18"/>
        </w:rPr>
        <w:t xml:space="preserve"> de 0,397, o qual é 08,04% superior em relação ao resultado do </w:t>
      </w:r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Random </w:t>
      </w:r>
      <w:proofErr w:type="spellStart"/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>Forest</w:t>
      </w:r>
      <w:proofErr w:type="spellEnd"/>
      <w:r w:rsidRPr="00C52A69">
        <w:rPr>
          <w:rFonts w:ascii="Helvetica Neue" w:eastAsia="Helvetica Neue" w:hAnsi="Helvetica Neue" w:cs="Helvetica Neue"/>
          <w:sz w:val="18"/>
          <w:szCs w:val="18"/>
        </w:rPr>
        <w:t xml:space="preserve"> e 5% superior em relação a árvore de decisão, algoritmo que ficou em segundo lugar. Apesar disso os outros algoritmos apresentaram resultados satisfatórios, como o </w:t>
      </w:r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Random </w:t>
      </w:r>
      <w:proofErr w:type="spellStart"/>
      <w:r w:rsidRPr="00C52A69">
        <w:rPr>
          <w:rFonts w:ascii="Helvetica Neue" w:eastAsia="Helvetica Neue" w:hAnsi="Helvetica Neue" w:cs="Helvetica Neue"/>
          <w:i/>
          <w:iCs/>
          <w:sz w:val="18"/>
          <w:szCs w:val="18"/>
        </w:rPr>
        <w:t>Forest</w:t>
      </w:r>
      <w:proofErr w:type="spellEnd"/>
      <w:r w:rsidRPr="00C52A69">
        <w:rPr>
          <w:rFonts w:ascii="Helvetica Neue" w:eastAsia="Helvetica Neue" w:hAnsi="Helvetica Neue" w:cs="Helvetica Neue"/>
          <w:sz w:val="18"/>
          <w:szCs w:val="18"/>
        </w:rPr>
        <w:t xml:space="preserve"> que obteve uma precisão superior, o que demonstra que o método também pode ser utilizado em aplicação específicas em que se deseja priorizar a precisão da classificação.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C52A69">
        <w:rPr>
          <w:rFonts w:ascii="Helvetica Neue" w:eastAsia="Helvetica Neue" w:hAnsi="Helvetica Neue" w:cs="Helvetica Neue"/>
          <w:sz w:val="18"/>
          <w:szCs w:val="18"/>
        </w:rPr>
        <w:t>Dessa forma, conclui-se que os objetivos finais do projeto foram alcançados de forma satisfatória.</w:t>
      </w:r>
    </w:p>
    <w:p w14:paraId="3A8F7570" w14:textId="77777777" w:rsidR="008D6285" w:rsidRPr="006467AC" w:rsidRDefault="00AD6D65" w:rsidP="00792064">
      <w:pPr>
        <w:widowControl w:val="0"/>
        <w:spacing w:before="100" w:after="100" w:line="276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6467AC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2D36EEAA" w14:textId="77777777" w:rsidR="00201BE8" w:rsidRPr="00201BE8" w:rsidRDefault="00201BE8" w:rsidP="00201BE8">
      <w:pPr>
        <w:widowControl w:val="0"/>
        <w:spacing w:line="276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Figueroa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G.,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Chen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Y.-S., Avila, N., &amp; Chu, C.-C. (2017).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Improved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practices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in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machine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learning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algorithms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for NTL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detection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with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imbalanced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data. 1-5.  </w:t>
      </w:r>
    </w:p>
    <w:p w14:paraId="2C99101F" w14:textId="2F6EB48B" w:rsidR="00F36638" w:rsidRPr="006467AC" w:rsidRDefault="00201BE8" w:rsidP="00201BE8">
      <w:pPr>
        <w:widowControl w:val="0"/>
        <w:spacing w:line="276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lastRenderedPageBreak/>
        <w:t>Ghori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K. M.,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Abbasi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R. A.,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Awais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M.,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Imran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M.,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Ullah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A., &amp;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Szathmary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, L. (2020). Performance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Analysis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of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Different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Types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of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Machine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Learning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Classifiers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for Non-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Technical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Loss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201BE8">
        <w:rPr>
          <w:rFonts w:ascii="Helvetica Neue" w:eastAsia="Helvetica Neue" w:hAnsi="Helvetica Neue" w:cs="Helvetica Neue"/>
          <w:sz w:val="18"/>
          <w:szCs w:val="18"/>
        </w:rPr>
        <w:t>Detection</w:t>
      </w:r>
      <w:proofErr w:type="spellEnd"/>
      <w:r w:rsidRPr="00201BE8">
        <w:rPr>
          <w:rFonts w:ascii="Helvetica Neue" w:eastAsia="Helvetica Neue" w:hAnsi="Helvetica Neue" w:cs="Helvetica Neue"/>
          <w:sz w:val="18"/>
          <w:szCs w:val="18"/>
        </w:rPr>
        <w:t>. 1-16</w:t>
      </w:r>
    </w:p>
    <w:sectPr w:rsidR="00F36638" w:rsidRPr="006467AC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7E0F" w14:textId="77777777" w:rsidR="00D859EC" w:rsidRDefault="00D859EC">
      <w:r>
        <w:separator/>
      </w:r>
    </w:p>
  </w:endnote>
  <w:endnote w:type="continuationSeparator" w:id="0">
    <w:p w14:paraId="11C1CE7A" w14:textId="77777777" w:rsidR="00D859EC" w:rsidRDefault="00D8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608D" w14:textId="77777777" w:rsidR="008D6285" w:rsidRDefault="008D6285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E5FCA95" w14:textId="77777777" w:rsidR="008D6285" w:rsidRDefault="00AD6D6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4DF80379" wp14:editId="3EAA2AB3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922A" w14:textId="77777777" w:rsidR="00D859EC" w:rsidRDefault="00D859EC">
      <w:r>
        <w:separator/>
      </w:r>
    </w:p>
  </w:footnote>
  <w:footnote w:type="continuationSeparator" w:id="0">
    <w:p w14:paraId="5790C719" w14:textId="77777777" w:rsidR="00D859EC" w:rsidRDefault="00D8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9DC0" w14:textId="77777777" w:rsidR="008D6285" w:rsidRDefault="00AD6D6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9CC164D" wp14:editId="25808195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84"/>
    <w:multiLevelType w:val="multilevel"/>
    <w:tmpl w:val="6B169312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36E6C60"/>
    <w:multiLevelType w:val="multilevel"/>
    <w:tmpl w:val="B824ABC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5055FFF"/>
    <w:multiLevelType w:val="multilevel"/>
    <w:tmpl w:val="2EF26026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285"/>
    <w:rsid w:val="0007317F"/>
    <w:rsid w:val="0007533F"/>
    <w:rsid w:val="001D7116"/>
    <w:rsid w:val="00201BE8"/>
    <w:rsid w:val="00230B57"/>
    <w:rsid w:val="00346E5D"/>
    <w:rsid w:val="00465A25"/>
    <w:rsid w:val="004710D7"/>
    <w:rsid w:val="004B206F"/>
    <w:rsid w:val="00517885"/>
    <w:rsid w:val="00551B6A"/>
    <w:rsid w:val="0059657F"/>
    <w:rsid w:val="005C09AF"/>
    <w:rsid w:val="006467AC"/>
    <w:rsid w:val="006A2C3E"/>
    <w:rsid w:val="006B2C8B"/>
    <w:rsid w:val="006F65A7"/>
    <w:rsid w:val="00754DF5"/>
    <w:rsid w:val="00766C69"/>
    <w:rsid w:val="0077509E"/>
    <w:rsid w:val="00792064"/>
    <w:rsid w:val="00860CFF"/>
    <w:rsid w:val="00866351"/>
    <w:rsid w:val="00871AEC"/>
    <w:rsid w:val="008D6285"/>
    <w:rsid w:val="0099684D"/>
    <w:rsid w:val="00A85C4F"/>
    <w:rsid w:val="00AD6D65"/>
    <w:rsid w:val="00BA1B6B"/>
    <w:rsid w:val="00BF4933"/>
    <w:rsid w:val="00C52A69"/>
    <w:rsid w:val="00D859EC"/>
    <w:rsid w:val="00E74FDC"/>
    <w:rsid w:val="00EC3640"/>
    <w:rsid w:val="00ED2738"/>
    <w:rsid w:val="00ED40B2"/>
    <w:rsid w:val="00F3663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03A"/>
  <w15:docId w15:val="{CCB3CC4A-8813-4995-BA28-59DDA61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D40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0B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6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&#195;O\OneDrive\&#193;rea%20de%20Trabalho\JPUSB\JP%20Projeto%20IF\Gr&#225;ficos%20relatorio%20parci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&#195;O\OneDrive\&#193;rea%20de%20Trabalho\JPUSB\JP%20Projeto%20IF\Gr&#225;ficos%20relatorio%20parci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Planilha1!$C$11</c:f>
              <c:strCache>
                <c:ptCount val="1"/>
                <c:pt idx="0">
                  <c:v>Precisão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Planilha1!$D$10:$G$10</c:f>
              <c:strCache>
                <c:ptCount val="4"/>
                <c:pt idx="0">
                  <c:v>MLP</c:v>
                </c:pt>
                <c:pt idx="1">
                  <c:v>Random Forest</c:v>
                </c:pt>
                <c:pt idx="2">
                  <c:v>Gradient Boosting</c:v>
                </c:pt>
                <c:pt idx="3">
                  <c:v>Árvore de Decisão</c:v>
                </c:pt>
              </c:strCache>
            </c:strRef>
          </c:cat>
          <c:val>
            <c:numRef>
              <c:f>Planilha1!$D$11:$G$11</c:f>
              <c:numCache>
                <c:formatCode>0.00%</c:formatCode>
                <c:ptCount val="4"/>
                <c:pt idx="0">
                  <c:v>0.49099999999999999</c:v>
                </c:pt>
                <c:pt idx="1">
                  <c:v>0.67100000000000004</c:v>
                </c:pt>
                <c:pt idx="2" formatCode="0%">
                  <c:v>0.6</c:v>
                </c:pt>
                <c:pt idx="3">
                  <c:v>0.44500000000000001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D-4BF1-8D03-4E33D7F3DF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84893055"/>
        <c:axId val="584895551"/>
      </c:barChart>
      <c:catAx>
        <c:axId val="584893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4895551"/>
        <c:crosses val="autoZero"/>
        <c:auto val="1"/>
        <c:lblAlgn val="ctr"/>
        <c:lblOffset val="100"/>
        <c:noMultiLvlLbl val="0"/>
      </c:catAx>
      <c:valAx>
        <c:axId val="5848955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4893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Planilha1!$S$7</c:f>
              <c:strCache>
                <c:ptCount val="1"/>
                <c:pt idx="0">
                  <c:v>F1-score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Planilha1!$T$6:$W$6</c:f>
              <c:strCache>
                <c:ptCount val="4"/>
                <c:pt idx="0">
                  <c:v>MLP</c:v>
                </c:pt>
                <c:pt idx="1">
                  <c:v>Random Forest</c:v>
                </c:pt>
                <c:pt idx="2">
                  <c:v>Gradient Boosting</c:v>
                </c:pt>
                <c:pt idx="3">
                  <c:v>Árvore de Decisão</c:v>
                </c:pt>
              </c:strCache>
            </c:strRef>
          </c:cat>
          <c:val>
            <c:numRef>
              <c:f>Planilha1!$T$7:$W$7</c:f>
              <c:numCache>
                <c:formatCode>0.00%</c:formatCode>
                <c:ptCount val="4"/>
                <c:pt idx="0">
                  <c:v>0.39700000000000002</c:v>
                </c:pt>
                <c:pt idx="1">
                  <c:v>0.313</c:v>
                </c:pt>
                <c:pt idx="2">
                  <c:v>0.33329999999999999</c:v>
                </c:pt>
                <c:pt idx="3">
                  <c:v>0.34699999999999998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9-4AFD-976E-23D0F83604D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3937327"/>
        <c:axId val="473929839"/>
      </c:barChart>
      <c:catAx>
        <c:axId val="4739373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73929839"/>
        <c:crosses val="autoZero"/>
        <c:auto val="1"/>
        <c:lblAlgn val="ctr"/>
        <c:lblOffset val="100"/>
        <c:noMultiLvlLbl val="0"/>
      </c:catAx>
      <c:valAx>
        <c:axId val="4739298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73937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Did20</b:Tag>
    <b:SourceType>InternetSite</b:SourceType>
    <b:Guid>{203B4F8F-3B3A-456E-A5FE-2982BF75349B}</b:Guid>
    <b:Author>
      <b:Author>
        <b:Corporate>Didática Tech</b:Corporate>
      </b:Author>
    </b:Author>
    <b:Title>O que é e como funciona o algoritmo RandomForest</b:Title>
    <b:InternetSiteTitle>didatica.tech</b:InternetSiteTitle>
    <b:Year>2020</b:Year>
    <b:URL>https://didatica.tech/o-que-e-e-como-funciona-o-algoritmo-randomforest/</b:URL>
    <b:RefOrder>1</b:RefOrder>
  </b:Source>
  <b:Source>
    <b:Tag>Cín19</b:Tag>
    <b:SourceType>InternetSite</b:SourceType>
    <b:Guid>{12EA128A-9795-49FA-97EC-1C608629BE44}</b:Guid>
    <b:Author>
      <b:Author>
        <b:NameList>
          <b:Person>
            <b:Last>Pessanha</b:Last>
            <b:First>Cínthia</b:First>
          </b:Person>
        </b:NameList>
      </b:Author>
    </b:Author>
    <b:Title>Random Forest: como funciona um dos algoritmos mais populares de ML</b:Title>
    <b:InternetSiteTitle>medium</b:InternetSiteTitle>
    <b:Year>2019</b:Year>
    <b:Month>Novembro</b:Month>
    <b:Day>20</b:Day>
    <b:URL>https://medium.com/cinthiabpessanha/random-forest-como-funciona-um-dos-algoritmos-mais-populares-de-ml-cc1b8a58b3b4</b:URL>
    <b:RefOrder>2</b:RefOrder>
  </b:Source>
</b:Sources>
</file>

<file path=customXml/itemProps1.xml><?xml version="1.0" encoding="utf-8"?>
<ds:datastoreItem xmlns:ds="http://schemas.openxmlformats.org/officeDocument/2006/customXml" ds:itemID="{992CFC6B-CE43-432B-ADCF-3285063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Lobo Medeiros</dc:creator>
  <cp:keywords/>
  <dc:description/>
  <cp:lastModifiedBy>João Pedro Lobo Medeiros</cp:lastModifiedBy>
  <cp:revision>9</cp:revision>
  <dcterms:created xsi:type="dcterms:W3CDTF">2021-08-07T20:34:00Z</dcterms:created>
  <dcterms:modified xsi:type="dcterms:W3CDTF">2021-10-25T20:52:00Z</dcterms:modified>
</cp:coreProperties>
</file>