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5B5E5" w14:textId="77777777" w:rsidR="000D3080" w:rsidRPr="008A0AAA" w:rsidRDefault="00572D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" w:eastAsia="Helvetica Neue" w:hAnsi="Helvetica" w:cs="Helvetica Neue"/>
          <w:b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b/>
          <w:color w:val="000000"/>
          <w:sz w:val="18"/>
          <w:szCs w:val="18"/>
          <w:lang w:val="pt-BR"/>
        </w:rPr>
        <w:t>MANUAL DE PRÁTICAS EXPERIMENTAIS E FICHAS EXPERIMENTAIS</w:t>
      </w:r>
      <w:r w:rsidR="00072988" w:rsidRPr="008A0AAA">
        <w:rPr>
          <w:rFonts w:ascii="Helvetica" w:eastAsia="Helvetica Neue" w:hAnsi="Helvetica" w:cs="Helvetica Neue"/>
          <w:b/>
          <w:color w:val="000000"/>
          <w:sz w:val="18"/>
          <w:szCs w:val="18"/>
          <w:lang w:val="pt-BR"/>
        </w:rPr>
        <w:t>: RECURSO EDUCACIONAL PARA O ENSINO DE QUÍMICA</w:t>
      </w:r>
    </w:p>
    <w:p w14:paraId="02BFE5AA" w14:textId="77777777" w:rsidR="000D3080" w:rsidRPr="008A0AAA" w:rsidRDefault="000D308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" w:eastAsia="Helvetica Neue" w:hAnsi="Helvetica" w:cs="Helvetica Neue"/>
          <w:b/>
          <w:color w:val="000000"/>
          <w:sz w:val="18"/>
          <w:szCs w:val="18"/>
          <w:lang w:val="pt-BR"/>
        </w:rPr>
      </w:pPr>
    </w:p>
    <w:p w14:paraId="1DC6827C" w14:textId="11CFA357" w:rsidR="007F24FC" w:rsidRPr="008A0AAA" w:rsidRDefault="000B54C0" w:rsidP="007F24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" w:eastAsia="Helvetica Neue" w:hAnsi="Helvetica" w:cs="Helvetica Neue"/>
          <w:color w:val="000000"/>
          <w:sz w:val="18"/>
          <w:szCs w:val="18"/>
        </w:rPr>
      </w:pPr>
      <w:r>
        <w:rPr>
          <w:rFonts w:ascii="Helvetica" w:eastAsia="Helvetica Neue" w:hAnsi="Helvetica" w:cs="Helvetica Neue"/>
          <w:color w:val="000000"/>
          <w:sz w:val="18"/>
          <w:szCs w:val="18"/>
        </w:rPr>
        <w:t>LAURA J.</w:t>
      </w:r>
      <w:r w:rsidR="007F24FC" w:rsidRPr="008A0AA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ALVES</w:t>
      </w:r>
      <w:r>
        <w:rPr>
          <w:rFonts w:ascii="Helvetica" w:eastAsia="Helvetica Neue" w:hAnsi="Helvetica" w:cs="Helvetica Neue"/>
          <w:color w:val="000000"/>
          <w:sz w:val="18"/>
          <w:szCs w:val="18"/>
        </w:rPr>
        <w:t xml:space="preserve"> MOISES</w:t>
      </w:r>
      <w:bookmarkStart w:id="0" w:name="_GoBack"/>
      <w:bookmarkEnd w:id="0"/>
      <w:r w:rsidR="007F24FC" w:rsidRPr="008A0AA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(IFPB, Campus João Pessoa),  </w:t>
      </w:r>
      <w:r w:rsidR="00921931" w:rsidRPr="008A0AAA">
        <w:rPr>
          <w:rFonts w:ascii="Helvetica" w:eastAsia="Helvetica Neue" w:hAnsi="Helvetica" w:cs="Helvetica Neue"/>
          <w:color w:val="000000"/>
          <w:sz w:val="18"/>
          <w:szCs w:val="18"/>
        </w:rPr>
        <w:t xml:space="preserve">JOSÉ DIEGO </w:t>
      </w:r>
      <w:r w:rsidR="007F24FC" w:rsidRPr="008A0AAA">
        <w:rPr>
          <w:rFonts w:ascii="Helvetica" w:eastAsia="Helvetica Neue" w:hAnsi="Helvetica" w:cs="Helvetica Neue"/>
          <w:color w:val="000000"/>
          <w:sz w:val="18"/>
          <w:szCs w:val="18"/>
        </w:rPr>
        <w:t>S</w:t>
      </w:r>
      <w:r w:rsidR="00921931" w:rsidRPr="008A0AAA">
        <w:rPr>
          <w:rFonts w:ascii="Helvetica" w:eastAsia="Helvetica Neue" w:hAnsi="Helvetica" w:cs="Helvetica Neue"/>
          <w:color w:val="000000"/>
          <w:sz w:val="18"/>
          <w:szCs w:val="18"/>
        </w:rPr>
        <w:t xml:space="preserve">. NUNES </w:t>
      </w:r>
      <w:r w:rsidR="007F24FC" w:rsidRPr="008A0AAA">
        <w:rPr>
          <w:rFonts w:ascii="Helvetica" w:eastAsia="Helvetica Neue" w:hAnsi="Helvetica" w:cs="Helvetica Neue"/>
          <w:color w:val="000000"/>
          <w:sz w:val="18"/>
          <w:szCs w:val="18"/>
        </w:rPr>
        <w:t xml:space="preserve">(IFPB, Campus João Pessoa),  </w:t>
      </w:r>
      <w:r w:rsidR="00921931" w:rsidRPr="008A0AAA">
        <w:rPr>
          <w:rFonts w:ascii="Helvetica" w:eastAsia="Helvetica Neue" w:hAnsi="Helvetica" w:cs="Helvetica Neue"/>
          <w:color w:val="000000"/>
          <w:sz w:val="18"/>
          <w:szCs w:val="18"/>
        </w:rPr>
        <w:t xml:space="preserve">LUCAS MOURA </w:t>
      </w:r>
      <w:r w:rsidR="007F24FC" w:rsidRPr="008A0AAA">
        <w:rPr>
          <w:rFonts w:ascii="Helvetica" w:eastAsia="Helvetica Neue" w:hAnsi="Helvetica" w:cs="Helvetica Neue"/>
          <w:color w:val="000000"/>
          <w:sz w:val="18"/>
          <w:szCs w:val="18"/>
        </w:rPr>
        <w:t>SOUSA  (IFPB, Campus João Pessoa),  A</w:t>
      </w:r>
      <w:r w:rsidR="00921931" w:rsidRPr="008A0AAA">
        <w:rPr>
          <w:rFonts w:ascii="Helvetica" w:eastAsia="Helvetica Neue" w:hAnsi="Helvetica" w:cs="Helvetica Neue"/>
          <w:color w:val="000000"/>
          <w:sz w:val="18"/>
          <w:szCs w:val="18"/>
        </w:rPr>
        <w:t>NDRÉA</w:t>
      </w:r>
      <w:r w:rsidR="007F24FC" w:rsidRPr="008A0AA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</w:t>
      </w:r>
      <w:r w:rsidR="00921931" w:rsidRPr="008A0AAA">
        <w:rPr>
          <w:rFonts w:ascii="Helvetica" w:eastAsia="Helvetica Neue" w:hAnsi="Helvetica" w:cs="Helvetica Neue"/>
          <w:color w:val="000000"/>
          <w:sz w:val="18"/>
          <w:szCs w:val="18"/>
        </w:rPr>
        <w:t>DE</w:t>
      </w:r>
      <w:r w:rsidR="007F24FC" w:rsidRPr="008A0AAA">
        <w:rPr>
          <w:rFonts w:ascii="Helvetica" w:eastAsia="Helvetica Neue" w:hAnsi="Helvetica" w:cs="Helvetica Neue"/>
          <w:color w:val="000000"/>
          <w:sz w:val="18"/>
          <w:szCs w:val="18"/>
        </w:rPr>
        <w:t xml:space="preserve"> LUCENA (IFPB, Campus João Pessoa)</w:t>
      </w:r>
    </w:p>
    <w:p w14:paraId="5608108C" w14:textId="77777777" w:rsidR="007F24FC" w:rsidRPr="008A0AAA" w:rsidRDefault="007F24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" w:eastAsia="Helvetica Neue" w:hAnsi="Helvetica" w:cs="Helvetica Neue"/>
          <w:b/>
          <w:color w:val="000000"/>
          <w:sz w:val="16"/>
          <w:szCs w:val="16"/>
          <w:lang w:val="pt-BR"/>
        </w:rPr>
      </w:pPr>
    </w:p>
    <w:p w14:paraId="545D9E73" w14:textId="02B7D66A" w:rsidR="000D3080" w:rsidRPr="008A0AAA" w:rsidRDefault="00214D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" w:eastAsia="Helvetica Neue" w:hAnsi="Helvetica" w:cs="Helvetica Neue"/>
          <w:sz w:val="16"/>
          <w:szCs w:val="16"/>
          <w:lang w:val="pt-BR"/>
        </w:rPr>
      </w:pPr>
      <w:r w:rsidRPr="008A0AAA">
        <w:rPr>
          <w:rFonts w:ascii="Helvetica" w:eastAsia="Helvetica Neue" w:hAnsi="Helvetica" w:cs="Helvetica Neue"/>
          <w:b/>
          <w:color w:val="000000"/>
          <w:sz w:val="16"/>
          <w:szCs w:val="16"/>
          <w:lang w:val="pt-BR"/>
        </w:rPr>
        <w:t xml:space="preserve">E-mails: </w:t>
      </w:r>
      <w:r w:rsidR="007F4866" w:rsidRPr="008A0AAA">
        <w:rPr>
          <w:rFonts w:ascii="Helvetica" w:eastAsia="Helvetica Neue" w:hAnsi="Helvetica" w:cs="Helvetica Neue"/>
          <w:b/>
          <w:color w:val="000000"/>
          <w:sz w:val="16"/>
          <w:szCs w:val="16"/>
          <w:lang w:val="pt-BR"/>
        </w:rPr>
        <w:t xml:space="preserve"> </w:t>
      </w:r>
      <w:r w:rsidR="007F4866" w:rsidRPr="008A0AAA">
        <w:rPr>
          <w:rFonts w:ascii="Helvetica" w:eastAsia="Helvetica Neue" w:hAnsi="Helvetica" w:cs="Helvetica Neue"/>
          <w:color w:val="000000"/>
          <w:sz w:val="16"/>
          <w:szCs w:val="16"/>
          <w:lang w:val="pt-BR"/>
        </w:rPr>
        <w:t xml:space="preserve">lauramoisesprof@gmail.com, </w:t>
      </w:r>
      <w:r w:rsidR="007F4866" w:rsidRPr="008A0AAA">
        <w:rPr>
          <w:rFonts w:ascii="Helvetica" w:hAnsi="Helvetica"/>
          <w:sz w:val="16"/>
          <w:szCs w:val="16"/>
        </w:rPr>
        <w:t>felicianodiego150@gmail.com,</w:t>
      </w:r>
      <w:r w:rsidR="007F4866" w:rsidRPr="008A0AAA">
        <w:rPr>
          <w:rStyle w:val="Hyperlink"/>
          <w:rFonts w:ascii="Helvetica" w:eastAsia="Arial" w:hAnsi="Helvetica" w:cs="Arial"/>
          <w:color w:val="auto"/>
          <w:sz w:val="16"/>
          <w:szCs w:val="16"/>
          <w:u w:val="none"/>
        </w:rPr>
        <w:t xml:space="preserve"> </w:t>
      </w:r>
      <w:hyperlink r:id="rId7" w:history="1">
        <w:r w:rsidR="007F4866" w:rsidRPr="008A0AAA">
          <w:rPr>
            <w:rStyle w:val="Hyperlink"/>
            <w:rFonts w:ascii="Helvetica" w:eastAsia="Arial" w:hAnsi="Helvetica" w:cs="Arial"/>
            <w:color w:val="auto"/>
            <w:sz w:val="16"/>
            <w:szCs w:val="16"/>
            <w:u w:val="none"/>
          </w:rPr>
          <w:t>lucasmoura180204@gmail.com</w:t>
        </w:r>
      </w:hyperlink>
      <w:r w:rsidR="007F4866" w:rsidRPr="008A0AAA">
        <w:rPr>
          <w:rStyle w:val="Hyperlink"/>
          <w:rFonts w:ascii="Helvetica" w:eastAsia="Arial" w:hAnsi="Helvetica" w:cs="Arial"/>
          <w:color w:val="auto"/>
          <w:sz w:val="16"/>
          <w:szCs w:val="16"/>
          <w:u w:val="none"/>
        </w:rPr>
        <w:t xml:space="preserve">, </w:t>
      </w:r>
      <w:hyperlink r:id="rId8" w:history="1">
        <w:r w:rsidR="007F4866" w:rsidRPr="008A0AAA">
          <w:rPr>
            <w:rStyle w:val="Hyperlink"/>
            <w:rFonts w:ascii="Helvetica" w:eastAsia="Arial" w:hAnsi="Helvetica" w:cs="Arial"/>
            <w:color w:val="auto"/>
            <w:sz w:val="16"/>
            <w:szCs w:val="16"/>
            <w:u w:val="none"/>
          </w:rPr>
          <w:t>andrea.lira@ifpb.edu.br</w:t>
        </w:r>
      </w:hyperlink>
    </w:p>
    <w:p w14:paraId="26948D87" w14:textId="1F7020D2" w:rsidR="000D3080" w:rsidRPr="008A0AAA" w:rsidRDefault="00214D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" w:eastAsia="Helvetica Neue" w:hAnsi="Helvetica" w:cs="Helvetica Neue"/>
          <w:color w:val="000000"/>
          <w:sz w:val="16"/>
          <w:szCs w:val="16"/>
          <w:lang w:val="pt-BR"/>
        </w:rPr>
      </w:pPr>
      <w:r w:rsidRPr="008A0AAA">
        <w:rPr>
          <w:rFonts w:ascii="Helvetica" w:eastAsia="Helvetica Neue" w:hAnsi="Helvetica" w:cs="Helvetica Neue"/>
          <w:b/>
          <w:color w:val="000000"/>
          <w:sz w:val="16"/>
          <w:szCs w:val="16"/>
          <w:lang w:val="pt-BR"/>
        </w:rPr>
        <w:t>Área de conhecimento:(Tabela CNPq)</w:t>
      </w:r>
      <w:r w:rsidRPr="008A0AAA">
        <w:rPr>
          <w:rFonts w:ascii="Helvetica" w:eastAsia="Helvetica Neue" w:hAnsi="Helvetica" w:cs="Helvetica Neue"/>
          <w:color w:val="000000"/>
          <w:sz w:val="16"/>
          <w:szCs w:val="16"/>
          <w:lang w:val="pt-BR"/>
        </w:rPr>
        <w:t xml:space="preserve">: </w:t>
      </w:r>
      <w:r w:rsidRPr="008A0AAA">
        <w:rPr>
          <w:rFonts w:ascii="Helvetica" w:eastAsia="Helvetica Neue" w:hAnsi="Helvetica" w:cs="Helvetica Neue"/>
          <w:sz w:val="16"/>
          <w:szCs w:val="16"/>
          <w:lang w:val="pt-BR"/>
        </w:rPr>
        <w:t>1.0</w:t>
      </w:r>
      <w:r w:rsidR="00921931" w:rsidRPr="008A0AAA">
        <w:rPr>
          <w:rFonts w:ascii="Helvetica" w:eastAsia="Helvetica Neue" w:hAnsi="Helvetica" w:cs="Helvetica Neue"/>
          <w:sz w:val="16"/>
          <w:szCs w:val="16"/>
          <w:lang w:val="pt-BR"/>
        </w:rPr>
        <w:t>0</w:t>
      </w:r>
      <w:r w:rsidRPr="008A0AAA">
        <w:rPr>
          <w:rFonts w:ascii="Helvetica" w:eastAsia="Helvetica Neue" w:hAnsi="Helvetica" w:cs="Helvetica Neue"/>
          <w:sz w:val="16"/>
          <w:szCs w:val="16"/>
          <w:lang w:val="pt-BR"/>
        </w:rPr>
        <w:t>.0</w:t>
      </w:r>
      <w:r w:rsidR="00921931" w:rsidRPr="008A0AAA">
        <w:rPr>
          <w:rFonts w:ascii="Helvetica" w:eastAsia="Helvetica Neue" w:hAnsi="Helvetica" w:cs="Helvetica Neue"/>
          <w:sz w:val="16"/>
          <w:szCs w:val="16"/>
          <w:lang w:val="pt-BR"/>
        </w:rPr>
        <w:t>0</w:t>
      </w:r>
      <w:r w:rsidRPr="008A0AAA">
        <w:rPr>
          <w:rFonts w:ascii="Helvetica" w:eastAsia="Helvetica Neue" w:hAnsi="Helvetica" w:cs="Helvetica Neue"/>
          <w:sz w:val="16"/>
          <w:szCs w:val="16"/>
          <w:lang w:val="pt-BR"/>
        </w:rPr>
        <w:t>.0</w:t>
      </w:r>
      <w:r w:rsidR="00921931" w:rsidRPr="008A0AAA">
        <w:rPr>
          <w:rFonts w:ascii="Helvetica" w:eastAsia="Helvetica Neue" w:hAnsi="Helvetica" w:cs="Helvetica Neue"/>
          <w:sz w:val="16"/>
          <w:szCs w:val="16"/>
          <w:lang w:val="pt-BR"/>
        </w:rPr>
        <w:t>0</w:t>
      </w:r>
      <w:r w:rsidRPr="008A0AAA">
        <w:rPr>
          <w:rFonts w:ascii="Helvetica" w:eastAsia="Helvetica Neue" w:hAnsi="Helvetica" w:cs="Helvetica Neue"/>
          <w:sz w:val="16"/>
          <w:szCs w:val="16"/>
          <w:lang w:val="pt-BR"/>
        </w:rPr>
        <w:t>-</w:t>
      </w:r>
      <w:r w:rsidR="00921931" w:rsidRPr="008A0AAA">
        <w:rPr>
          <w:rFonts w:ascii="Helvetica" w:eastAsia="Helvetica Neue" w:hAnsi="Helvetica" w:cs="Helvetica Neue"/>
          <w:sz w:val="16"/>
          <w:szCs w:val="16"/>
          <w:lang w:val="pt-BR"/>
        </w:rPr>
        <w:t>3</w:t>
      </w:r>
      <w:r w:rsidRPr="008A0AAA">
        <w:rPr>
          <w:rFonts w:ascii="Helvetica" w:eastAsia="Helvetica Neue" w:hAnsi="Helvetica" w:cs="Helvetica Neue"/>
          <w:sz w:val="16"/>
          <w:szCs w:val="16"/>
          <w:lang w:val="pt-BR"/>
        </w:rPr>
        <w:t xml:space="preserve"> </w:t>
      </w:r>
      <w:r w:rsidR="00921931" w:rsidRPr="008A0AAA">
        <w:rPr>
          <w:rFonts w:ascii="Helvetica" w:eastAsia="Helvetica Neue" w:hAnsi="Helvetica" w:cs="Helvetica Neue"/>
          <w:sz w:val="16"/>
          <w:szCs w:val="16"/>
          <w:lang w:val="pt-BR"/>
        </w:rPr>
        <w:t>Ciências Exatas e da Terra</w:t>
      </w:r>
      <w:r w:rsidRPr="008A0AAA">
        <w:rPr>
          <w:rFonts w:ascii="Helvetica" w:eastAsia="Helvetica Neue" w:hAnsi="Helvetica" w:cs="Helvetica Neue"/>
          <w:color w:val="000000"/>
          <w:sz w:val="16"/>
          <w:szCs w:val="16"/>
          <w:lang w:val="pt-BR"/>
        </w:rPr>
        <w:t>.</w:t>
      </w:r>
    </w:p>
    <w:p w14:paraId="2C062F2A" w14:textId="77777777" w:rsidR="000D3080" w:rsidRPr="008A0AAA" w:rsidRDefault="00214D0E" w:rsidP="007F4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both"/>
        <w:rPr>
          <w:rFonts w:ascii="Helvetica" w:eastAsia="Helvetica Neue" w:hAnsi="Helvetica" w:cs="Helvetica Neue"/>
          <w:color w:val="000000"/>
          <w:sz w:val="16"/>
          <w:szCs w:val="16"/>
          <w:lang w:val="pt-BR"/>
        </w:rPr>
      </w:pPr>
      <w:r w:rsidRPr="008A0AAA">
        <w:rPr>
          <w:rFonts w:ascii="Helvetica" w:eastAsia="Helvetica Neue" w:hAnsi="Helvetica" w:cs="Helvetica Neue"/>
          <w:b/>
          <w:color w:val="000000"/>
          <w:sz w:val="16"/>
          <w:szCs w:val="16"/>
          <w:lang w:val="pt-BR"/>
        </w:rPr>
        <w:t>Palavras-Chave</w:t>
      </w:r>
      <w:r w:rsidRPr="008A0AAA">
        <w:rPr>
          <w:rFonts w:ascii="Helvetica" w:eastAsia="Helvetica Neue" w:hAnsi="Helvetica" w:cs="Helvetica Neue"/>
          <w:color w:val="000000"/>
          <w:sz w:val="16"/>
          <w:szCs w:val="16"/>
          <w:lang w:val="pt-BR"/>
        </w:rPr>
        <w:t>:</w:t>
      </w:r>
      <w:r w:rsidR="00572D04" w:rsidRPr="008A0AAA">
        <w:rPr>
          <w:rFonts w:ascii="Helvetica" w:eastAsia="Helvetica Neue" w:hAnsi="Helvetica" w:cs="Helvetica Neue"/>
          <w:color w:val="000000"/>
          <w:sz w:val="16"/>
          <w:szCs w:val="16"/>
          <w:lang w:val="pt-BR"/>
        </w:rPr>
        <w:t xml:space="preserve"> química, experimentos químicos; ensino- aprendizagem</w:t>
      </w:r>
      <w:r w:rsidRPr="008A0AAA">
        <w:rPr>
          <w:rFonts w:ascii="Helvetica" w:eastAsia="Helvetica Neue" w:hAnsi="Helvetica" w:cs="Helvetica Neue"/>
          <w:color w:val="000000"/>
          <w:sz w:val="16"/>
          <w:szCs w:val="16"/>
          <w:lang w:val="pt-BR"/>
        </w:rPr>
        <w:t>.</w:t>
      </w:r>
    </w:p>
    <w:p w14:paraId="61A96069" w14:textId="77777777" w:rsidR="007F4866" w:rsidRPr="008A0AAA" w:rsidRDefault="007F4866" w:rsidP="007F4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both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</w:p>
    <w:p w14:paraId="771FF625" w14:textId="77777777" w:rsidR="000D3080" w:rsidRPr="008A0AAA" w:rsidRDefault="00214D0E" w:rsidP="0069049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b/>
          <w:color w:val="000000"/>
          <w:sz w:val="18"/>
          <w:szCs w:val="18"/>
          <w:lang w:val="pt-BR"/>
        </w:rPr>
        <w:t>Introdução</w:t>
      </w:r>
    </w:p>
    <w:p w14:paraId="0C8EB0F2" w14:textId="5E5989AF" w:rsidR="00E57D32" w:rsidRPr="008A0AAA" w:rsidRDefault="00332589" w:rsidP="00BC18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" w:hAnsi="Helvetica"/>
          <w:color w:val="333333"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sz w:val="18"/>
          <w:szCs w:val="18"/>
          <w:lang w:val="pt-BR"/>
        </w:rPr>
        <w:t>A definição de Química como:</w:t>
      </w:r>
      <w:r w:rsidR="00C05E46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“a Ciência que estu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da a transformação da matéria</w:t>
      </w:r>
      <w:r w:rsidRPr="008A0AAA">
        <w:rPr>
          <w:rFonts w:ascii="Helvetica" w:eastAsia="Helvetica Neue" w:hAnsi="Helvetica" w:cs="Helvetica Neue"/>
          <w:sz w:val="18"/>
          <w:szCs w:val="18"/>
          <w:lang w:val="pt-BR"/>
        </w:rPr>
        <w:t xml:space="preserve">” é uma </w:t>
      </w:r>
      <w:r w:rsidR="00C05E46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definição comumente encontrada nos livros didáticos dispo</w:t>
      </w:r>
      <w:r w:rsidR="00D94627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níveis</w:t>
      </w:r>
      <w:r w:rsidR="00C05E46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no ensino médio da educação </w:t>
      </w:r>
      <w:r w:rsidRPr="008A0AAA">
        <w:rPr>
          <w:rFonts w:ascii="Helvetica" w:eastAsia="Helvetica Neue" w:hAnsi="Helvetica" w:cs="Helvetica Neue"/>
          <w:sz w:val="18"/>
          <w:szCs w:val="18"/>
          <w:lang w:val="pt-BR"/>
        </w:rPr>
        <w:t>básica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</w:t>
      </w:r>
      <w:r w:rsidR="00C05E46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brasileira </w:t>
      </w:r>
      <w:r w:rsidR="00D0577A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e que sintetiza a sua importância para a humanidade. Foi através da busca </w:t>
      </w:r>
      <w:r w:rsidR="00BC18E2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pela compreensão da constituição e </w:t>
      </w:r>
      <w:r w:rsidR="00D0577A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das transformações dos mate</w:t>
      </w:r>
      <w:r w:rsidR="002832E3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riais que a humanidade evoluiu.</w:t>
      </w:r>
      <w:r w:rsidR="00D94627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</w:t>
      </w:r>
      <w:r w:rsidR="00A6341C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Nessa </w:t>
      </w:r>
      <w:r w:rsidR="00853056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perspectiva</w:t>
      </w:r>
      <w:r w:rsidR="00A6341C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compreendemos que o </w:t>
      </w:r>
      <w:r w:rsidR="001220C0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conhecimento</w:t>
      </w:r>
      <w:r w:rsidR="00A6341C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Químic</w:t>
      </w:r>
      <w:r w:rsidR="001220C0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o</w:t>
      </w:r>
      <w:r w:rsidR="00A6341C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precisa favorecer uma aprendizagem em que a</w:t>
      </w:r>
      <w:r w:rsidR="005A20C3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Química e a sociedade</w:t>
      </w:r>
      <w:r w:rsidR="008F0DF9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</w:t>
      </w:r>
      <w:r w:rsidR="00A6341C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estreitam-se no processo de ensino</w:t>
      </w:r>
      <w:r w:rsidR="00E76BFA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. Dessa forma,</w:t>
      </w:r>
      <w:r w:rsidR="00A6341C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acreditamos que a experimentação </w:t>
      </w:r>
      <w:r w:rsidR="00BF657C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Qu</w:t>
      </w:r>
      <w:r w:rsidR="001220C0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í</w:t>
      </w:r>
      <w:r w:rsidR="00BF657C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mica é fator essencial </w:t>
      </w:r>
      <w:r w:rsidR="00E76BFA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p</w:t>
      </w:r>
      <w:r w:rsidR="00A6341C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ar</w:t>
      </w:r>
      <w:r w:rsidR="00E76BFA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a esse processo</w:t>
      </w:r>
      <w:r w:rsidR="009534A9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. O ensino de Ciências e as práticas pedagógicas em sala de aula, incluindo a experimentação, desempenham um papel fundamental, pois possibilitam aos alunos uma aproximação do trabalho científico e melhor compreensão dos processos que acontecem nas Ciências. (</w:t>
      </w:r>
      <w:r w:rsidR="00477215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LUZ; LONGHIN</w:t>
      </w:r>
      <w:r w:rsidR="001504FB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, 2019, p. 180)</w:t>
      </w:r>
      <w:r w:rsidR="00E57D32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.</w:t>
      </w:r>
      <w:r w:rsidR="00E57D32" w:rsidRPr="008A0AAA">
        <w:rPr>
          <w:rFonts w:ascii="Helvetica" w:hAnsi="Helvetica"/>
          <w:color w:val="333333"/>
          <w:sz w:val="18"/>
          <w:szCs w:val="18"/>
          <w:lang w:val="pt-BR"/>
        </w:rPr>
        <w:t xml:space="preserve"> </w:t>
      </w:r>
    </w:p>
    <w:p w14:paraId="6EB775CB" w14:textId="77777777" w:rsidR="0048252E" w:rsidRPr="008A0AAA" w:rsidRDefault="0048252E" w:rsidP="004825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Apresentamos então, o desenvolvimento de um Manual de Práticas Experimentais e de Fichas de práticas experimentais com o objetivo de fomentar a ação docente com experimentos rápidos e de fácil execução de forma a contemplar os conteúdos indicados pelos Parâmetros Curriculares Nacionais do Ensino Médio (PCNEM) e pela Base Nacional Comum Curricular (BNCC) da etapa do ensino médio, abordando as subáreas da Química, em destaque a: Química geral, Físico-Química e Química Orgânica.</w:t>
      </w:r>
    </w:p>
    <w:p w14:paraId="3A030964" w14:textId="5C4D11C5" w:rsidR="001220C0" w:rsidRPr="008A0AAA" w:rsidRDefault="00BE305E" w:rsidP="00122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Embora a experimentação se</w:t>
      </w:r>
      <w:r w:rsidR="001220C0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ja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considerada </w:t>
      </w:r>
      <w:r w:rsidR="00332589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essencial no processo de ensino-</w:t>
      </w:r>
      <w:r w:rsidR="00853056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aprendizagem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,</w:t>
      </w:r>
      <w:r w:rsidR="005122EF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as práticas experimentais</w:t>
      </w:r>
      <w:r w:rsidR="00EA0B3A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são pouco frequentes e dentre os entraves mais encontrados por justificativa, Barbosa e Pires (2016, p .3) apontam</w:t>
      </w:r>
      <w:r w:rsidR="00EA0B3A" w:rsidRPr="008A0AAA">
        <w:rPr>
          <w:rFonts w:ascii="Helvetica" w:hAnsi="Helvetica"/>
          <w:lang w:val="pt-BR"/>
        </w:rPr>
        <w:t xml:space="preserve"> </w:t>
      </w:r>
      <w:r w:rsidR="00EA0B3A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em destaque a falta de laboratórios nas escolas ou instalações inadequadas, a falta de equipamentos e materiais apropriados e o pouco tempo disponível para as aulas de Ciência, comparado à extensão do currículo a ser aplicado.</w:t>
      </w:r>
      <w:r w:rsidR="001220C0" w:rsidRPr="008A0AAA">
        <w:rPr>
          <w:rFonts w:ascii="Helvetica" w:hAnsi="Helvetica"/>
          <w:sz w:val="18"/>
          <w:szCs w:val="18"/>
          <w:lang w:val="pt-BR"/>
        </w:rPr>
        <w:t xml:space="preserve"> Este trabalho propõe-se na continuidade</w:t>
      </w:r>
      <w:r w:rsidR="00BC18E2" w:rsidRPr="008A0AAA">
        <w:rPr>
          <w:rFonts w:ascii="Helvetica" w:hAnsi="Helvetica"/>
          <w:sz w:val="18"/>
          <w:szCs w:val="18"/>
          <w:lang w:val="pt-BR"/>
        </w:rPr>
        <w:t xml:space="preserve"> e finalização</w:t>
      </w:r>
      <w:r w:rsidR="001220C0" w:rsidRPr="008A0AAA">
        <w:rPr>
          <w:rFonts w:ascii="Helvetica" w:hAnsi="Helvetica"/>
          <w:sz w:val="18"/>
          <w:szCs w:val="18"/>
          <w:lang w:val="pt-BR"/>
        </w:rPr>
        <w:t xml:space="preserve"> do desenvolvimento de um dispositivo móvel, com diversas funções que permitam a reprodução de práticas laboratoriais, possibilitando o acesso aos mais diversos co</w:t>
      </w:r>
      <w:r w:rsidR="00332589" w:rsidRPr="008A0AAA">
        <w:rPr>
          <w:rFonts w:ascii="Helvetica" w:hAnsi="Helvetica"/>
          <w:sz w:val="18"/>
          <w:szCs w:val="18"/>
          <w:lang w:val="pt-BR"/>
        </w:rPr>
        <w:t>nteúdos relacionados a área da Q</w:t>
      </w:r>
      <w:r w:rsidR="001220C0" w:rsidRPr="008A0AAA">
        <w:rPr>
          <w:rFonts w:ascii="Helvetica" w:hAnsi="Helvetica"/>
          <w:sz w:val="18"/>
          <w:szCs w:val="18"/>
          <w:lang w:val="pt-BR"/>
        </w:rPr>
        <w:t>uímica, estando em qualquer localidade e apoiando as aulas práticas realizadas no decorrer dos estudos. Trata-se de uma unidade móvel idealizada, construída e equipada que, agora necessita da elaboração dos manuais e fichas guias com orientações de uso e de desenvolvimento de práticas experimentais, incluindo sequências didáticas para os professores e usuários.</w:t>
      </w:r>
    </w:p>
    <w:p w14:paraId="5AFAFCE0" w14:textId="77777777" w:rsidR="00E96EEF" w:rsidRPr="008A0AAA" w:rsidRDefault="00E96EEF" w:rsidP="00E96EE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b/>
          <w:color w:val="000000"/>
          <w:sz w:val="18"/>
          <w:szCs w:val="18"/>
          <w:lang w:val="pt-BR"/>
        </w:rPr>
        <w:t>Materiais e Métodos</w:t>
      </w:r>
    </w:p>
    <w:p w14:paraId="69C4152F" w14:textId="2B97C06A" w:rsidR="00E96EEF" w:rsidRPr="008A0AAA" w:rsidRDefault="00E96EEF" w:rsidP="00E96E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Este </w:t>
      </w:r>
      <w:r w:rsidR="0048252E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trabalho é 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uma pesquisa qualitativa ao passo que se preocupa com aspectos da realidade que não podem ser quantificados, centrando-se na compreensão e dinâmica das relações sociais” (</w:t>
      </w:r>
      <w:r w:rsidR="00477215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FONSECA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, 2002, p. 20) para a qual inicialmente foram </w:t>
      </w:r>
      <w:r w:rsidR="001220C0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realizados levantamentos bibliográficos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em livros didáticos, artigos e revistas eletrônica</w:t>
      </w:r>
      <w:r w:rsidR="00641C54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s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de experimentos químicos sugeridos para a realização no ensino médio. Após este levantamento a equipe selecionou os experimentos com base nos critérios: baixo custo; duração rápida</w:t>
      </w:r>
      <w:r w:rsidR="001220C0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e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fácil acesso </w:t>
      </w:r>
      <w:r w:rsidR="001220C0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a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os materiais.</w:t>
      </w:r>
    </w:p>
    <w:p w14:paraId="226D96ED" w14:textId="3C3F3E28" w:rsidR="00E96EEF" w:rsidRPr="008A0AAA" w:rsidRDefault="00C14193" w:rsidP="00E96E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Em </w:t>
      </w:r>
      <w:r w:rsidR="00363AAA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prosseguimento a seleção citada,</w:t>
      </w:r>
      <w:r w:rsidR="00E96EEF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classificamos</w:t>
      </w:r>
      <w:r w:rsidR="00363AAA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as práticas experimentais</w:t>
      </w:r>
      <w:r w:rsidR="00E96EEF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conforme as subáreas</w:t>
      </w:r>
      <w:r w:rsidR="00AA3414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:</w:t>
      </w:r>
      <w:r w:rsidR="00E96EEF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Química geral; Físico-Química e Química orgânica, organizados nessa sequência</w:t>
      </w:r>
      <w:r w:rsidR="00363AAA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,</w:t>
      </w:r>
      <w:r w:rsidR="00E96EEF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a fim de contemplar a seq</w:t>
      </w:r>
      <w:r w:rsidR="00E57D32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u</w:t>
      </w:r>
      <w:r w:rsidR="00E96EEF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ência da matriz curricular </w:t>
      </w:r>
      <w:r w:rsidR="00AA3414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adotada n</w:t>
      </w:r>
      <w:r w:rsidR="00E96EEF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o Instituto Federal da Paraíba – campus </w:t>
      </w:r>
      <w:r w:rsidR="00853056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João</w:t>
      </w:r>
      <w:r w:rsidR="00E96EEF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Pessoa, a qual contempla os </w:t>
      </w:r>
      <w:r w:rsidR="00853056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Parâmetros</w:t>
      </w:r>
      <w:r w:rsidR="00E96EEF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Nacionais Curriculares do Ensino médio.</w:t>
      </w:r>
    </w:p>
    <w:p w14:paraId="6143B652" w14:textId="5292D21A" w:rsidR="00E96EEF" w:rsidRPr="008A0AAA" w:rsidRDefault="00E96EEF" w:rsidP="00E96E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Dessa forma</w:t>
      </w:r>
      <w:r w:rsidR="001220C0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, uma vez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selecionados e organizados, partimos para a construção do Manual de Práticas Experimentais Químic</w:t>
      </w:r>
      <w:r w:rsidR="00DD559C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a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s, o qual contempla para cada proposta de prática experimental</w:t>
      </w:r>
      <w:r w:rsidR="00DD559C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: o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título; subtítulo referenciando o conteúdo abordado; os materiais necessários; o procedimento experimental; análise e discussão como proposta de reflexão para estudantes e as devidas referências.</w:t>
      </w:r>
    </w:p>
    <w:p w14:paraId="7DB658C7" w14:textId="45A1E50A" w:rsidR="00E96EEF" w:rsidRPr="008A0AAA" w:rsidRDefault="00E96EEF" w:rsidP="00E96E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O design gráfico do Manual de Práticas experimentais foi realizado </w:t>
      </w:r>
      <w:r w:rsidR="00AA3414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n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a plataforma Canva, possibilitando a disponibilização física e virtual do materia</w:t>
      </w:r>
      <w:r w:rsidR="00CC03DE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l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.</w:t>
      </w:r>
    </w:p>
    <w:p w14:paraId="5778C733" w14:textId="483F30F5" w:rsidR="00E96EEF" w:rsidRPr="008A0AAA" w:rsidRDefault="00E96EEF" w:rsidP="00E96E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lastRenderedPageBreak/>
        <w:t xml:space="preserve">Após a construção do Manual, elaboramos as fichas experimentais, ordenadas na mesma sequência do Manual de Práticas Experimentais. Essas Fichas foram elaboradas com </w:t>
      </w:r>
      <w:r w:rsidR="0048252E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objetivo</w:t>
      </w:r>
      <w:r w:rsidR="00F00B05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de</w:t>
      </w:r>
      <w:r w:rsidR="0048252E" w:rsidRPr="008A0AAA">
        <w:rPr>
          <w:rStyle w:val="Refdecomentrio"/>
          <w:rFonts w:ascii="Helvetica" w:hAnsi="Helvetica"/>
        </w:rPr>
        <w:t xml:space="preserve"> 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facilitar o manuseio e o acesso no momento da realização dos experimentos. Nelas estão contidas o título </w:t>
      </w:r>
      <w:r w:rsidR="00853056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dos experimentos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; subtítulo referenciando o conteúdo abordado; os materiais necessários;</w:t>
      </w:r>
      <w:r w:rsidR="00853056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procedimento experimental e referência.</w:t>
      </w:r>
    </w:p>
    <w:p w14:paraId="4F7EC193" w14:textId="3451C987" w:rsidR="00E96EEF" w:rsidRPr="008A0AAA" w:rsidRDefault="00E96EEF" w:rsidP="00E96E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Igualmente ao Manual de Práticas Experimentais, as fichas foram edi</w:t>
      </w:r>
      <w:r w:rsidR="000D07B0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tadas e idealizadas quanto ao </w:t>
      </w:r>
      <w:r w:rsidR="000D07B0" w:rsidRPr="008A0AAA">
        <w:rPr>
          <w:rFonts w:ascii="Helvetica" w:eastAsia="Helvetica Neue" w:hAnsi="Helvetica" w:cs="Helvetica Neue"/>
          <w:sz w:val="18"/>
          <w:szCs w:val="18"/>
          <w:lang w:val="pt-BR"/>
        </w:rPr>
        <w:t>design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gráfico, na plataforma </w:t>
      </w:r>
      <w:r w:rsidR="00853056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C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anva, confeccionadas com dimensões de 15 cm de largura e 10 cm de altura, obtendo-se 65 fichas experimentais a serem impressas em papel cartonado.</w:t>
      </w:r>
    </w:p>
    <w:p w14:paraId="4CD4FA45" w14:textId="77777777" w:rsidR="00572D04" w:rsidRPr="008A0AAA" w:rsidRDefault="00572D04" w:rsidP="00572D0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b/>
          <w:color w:val="000000"/>
          <w:sz w:val="18"/>
          <w:szCs w:val="18"/>
          <w:lang w:val="pt-BR"/>
        </w:rPr>
        <w:t>Resultados e Discussão</w:t>
      </w:r>
    </w:p>
    <w:p w14:paraId="7A720558" w14:textId="1E7CEFF6" w:rsidR="00572D04" w:rsidRPr="008A0AAA" w:rsidRDefault="00987FEB" w:rsidP="00E96E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Durante o levantamento das práticas experimentais, encontramos uma variedade de experimentos disponíveis em manuais experimentais, artigos e livros didáticos, no entanto, queremos destacar que a maioria dos manuais encontrados por nossa equipe são direcionados ao ensino superior em Química </w:t>
      </w:r>
      <w:r w:rsidR="00853056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e, portanto,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com uma linguagem </w:t>
      </w:r>
      <w:r w:rsidR="00853056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pouco ac</w:t>
      </w:r>
      <w:r w:rsidR="0048252E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essível aos discentes da educação b</w:t>
      </w:r>
      <w:r w:rsidR="00853056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ásica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. </w:t>
      </w:r>
      <w:r w:rsidR="00853056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Os livros didáticos analisados não propõem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práticas para todos os conteúdos abordados e em sua maioria limitam-se a roteiros experimentais, sem propor análise e discussão dos mesmos. Por fim, os artigos que abordam a experimentação química, desenvolvidos por licenciandos da Química </w:t>
      </w:r>
      <w:r w:rsidR="00D64299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apresentam uma esperada preocupação didática </w:t>
      </w:r>
      <w:r w:rsidR="00853056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e, portanto,</w:t>
      </w:r>
      <w:r w:rsidR="00D64299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a devida adequação para a realização no ensino médio, porém cada artigo apresenta propostas individualizadas ou restrita a um conteúdo.</w:t>
      </w:r>
    </w:p>
    <w:p w14:paraId="03440812" w14:textId="25B4BA81" w:rsidR="00D64299" w:rsidRPr="008A0AAA" w:rsidRDefault="00D64299" w:rsidP="00E96E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O diferencial deste </w:t>
      </w:r>
      <w:r w:rsidR="00853056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material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, é que o mesmo apresenta propostas para o desenvolvimento de práticas experimentais compiladas e adequadas ao ensino de Química durante todo o ensino médio, assim sendo o manual de práticas e as fichas apresentam de forma objetiva, práticas experimentais para o 1</w:t>
      </w:r>
      <w:r w:rsidR="00853056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º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, 2</w:t>
      </w:r>
      <w:r w:rsidR="00853056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º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e 3</w:t>
      </w:r>
      <w:r w:rsidR="00853056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º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ano do ensino médio, propondo inclusive o conteúdo a ser abordado.</w:t>
      </w:r>
    </w:p>
    <w:p w14:paraId="63F63AD5" w14:textId="326260E3" w:rsidR="00D64299" w:rsidRPr="008A0AAA" w:rsidRDefault="00D64299" w:rsidP="00E96E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O Manual de Práticas Experimentais apresenta </w:t>
      </w:r>
      <w:r w:rsidR="00111B40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65 experimentos classificados em 3 unidades, Química geral, Físico-Química e Química orgânica</w:t>
      </w:r>
      <w:r w:rsidR="00853056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,</w:t>
      </w:r>
      <w:r w:rsidR="00111B40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com 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linguagem simples e objetiva</w:t>
      </w:r>
      <w:r w:rsidR="00111B40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, em 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um design gráfico que sugere a leveza do ensino </w:t>
      </w:r>
      <w:r w:rsidR="00111B40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da </w:t>
      </w:r>
      <w:r w:rsidR="0096380D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Química.</w:t>
      </w:r>
    </w:p>
    <w:p w14:paraId="783BE23B" w14:textId="3993C9CF" w:rsidR="0096380D" w:rsidRPr="008A0AAA" w:rsidRDefault="0096380D" w:rsidP="00E30E1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2" w:firstLine="301"/>
        <w:jc w:val="both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A figura 1 </w:t>
      </w:r>
      <w:r w:rsidR="00853056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apresent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a a capa do Manual de Práticas Experimentais</w:t>
      </w:r>
      <w:r w:rsidR="004966D3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.</w:t>
      </w:r>
    </w:p>
    <w:p w14:paraId="3FA0CE79" w14:textId="77777777" w:rsidR="00853056" w:rsidRPr="008A0AAA" w:rsidRDefault="00853056" w:rsidP="00E30E1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2" w:firstLine="301"/>
        <w:jc w:val="both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</w:p>
    <w:p w14:paraId="2C62F502" w14:textId="2AC149B3" w:rsidR="0096380D" w:rsidRPr="008A0AAA" w:rsidRDefault="00BC18E2" w:rsidP="00E30E1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2" w:firstLine="301"/>
        <w:jc w:val="center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noProof/>
          <w:color w:val="000000"/>
          <w:sz w:val="18"/>
          <w:szCs w:val="18"/>
          <w:lang w:val="pt-BR"/>
        </w:rPr>
        <w:drawing>
          <wp:inline distT="0" distB="0" distL="0" distR="0" wp14:anchorId="44D9A16C" wp14:editId="0D767FB7">
            <wp:extent cx="1530927" cy="2144224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10" cy="216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E2611" w14:textId="77777777" w:rsidR="0096380D" w:rsidRPr="008A0AAA" w:rsidRDefault="007E420A" w:rsidP="00E30E1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2" w:firstLine="301"/>
        <w:jc w:val="center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sz w:val="18"/>
          <w:szCs w:val="18"/>
          <w:lang w:val="pt-BR"/>
        </w:rPr>
        <w:t>Figura 1: Capa do Manual de Práticas</w:t>
      </w:r>
    </w:p>
    <w:p w14:paraId="15E739F0" w14:textId="77777777" w:rsidR="00EE49B9" w:rsidRPr="008A0AAA" w:rsidRDefault="00EE49B9" w:rsidP="00E96E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</w:p>
    <w:p w14:paraId="62A6650E" w14:textId="6F4DA6EC" w:rsidR="007E420A" w:rsidRPr="008A0AAA" w:rsidRDefault="007E420A" w:rsidP="009B11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300"/>
        <w:jc w:val="both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As 65 fichas </w:t>
      </w:r>
      <w:r w:rsidR="00BC18E2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experimentais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possu</w:t>
      </w:r>
      <w:r w:rsidR="00BC18E2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em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a mesma ordem e numeração dos experimentos propostos no manual de práticas, no entanto com linguagem adaptada buscando-se objetividade e praticidade, as quais ainda se encontram em formato digital a ser impresso em papel cartonado com 15 cm de largura e 10 cm de altura.</w:t>
      </w:r>
    </w:p>
    <w:p w14:paraId="247FC51F" w14:textId="26F702BA" w:rsidR="00E96EEF" w:rsidRPr="008A0AAA" w:rsidRDefault="004966D3" w:rsidP="00E30E1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2" w:firstLine="301"/>
        <w:jc w:val="both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lastRenderedPageBreak/>
        <w:t xml:space="preserve">A figura 2 </w:t>
      </w:r>
      <w:r w:rsidR="00BC18E2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ilu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stra o resultado </w:t>
      </w:r>
      <w:r w:rsidR="007E420A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da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s</w:t>
      </w:r>
      <w:r w:rsidR="007E420A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ficha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s</w:t>
      </w:r>
      <w:r w:rsidR="007E420A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experi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mentais.</w:t>
      </w:r>
    </w:p>
    <w:p w14:paraId="54B9F37A" w14:textId="77777777" w:rsidR="000D3080" w:rsidRPr="008A0AAA" w:rsidRDefault="00D0577A" w:rsidP="00E30E1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2" w:firstLine="301"/>
        <w:jc w:val="center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,  </w:t>
      </w:r>
      <w:r w:rsidR="004966D3" w:rsidRPr="008A0AAA">
        <w:rPr>
          <w:rFonts w:ascii="Helvetica" w:hAnsi="Helvetica"/>
          <w:noProof/>
          <w:lang w:val="pt-BR"/>
        </w:rPr>
        <w:drawing>
          <wp:inline distT="0" distB="0" distL="0" distR="0" wp14:anchorId="2AB40B7B" wp14:editId="6CDA52C5">
            <wp:extent cx="2557895" cy="1705841"/>
            <wp:effectExtent l="19050" t="19050" r="13970" b="27940"/>
            <wp:docPr id="7" name="Imagem 7" descr="Experimento sobre Reação Química Exotérm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Experimento sobre Reação Química Exotérmica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8075" cy="17126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BE7884" w14:textId="77777777" w:rsidR="004966D3" w:rsidRPr="008A0AAA" w:rsidRDefault="004966D3" w:rsidP="00E30E1E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2" w:right="142" w:firstLine="301"/>
        <w:jc w:val="center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Figura 2: Ficha experimental</w:t>
      </w:r>
    </w:p>
    <w:p w14:paraId="3222610E" w14:textId="77777777" w:rsidR="000D3080" w:rsidRPr="008A0AAA" w:rsidRDefault="00214D0E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" w:eastAsia="Helvetica Neue" w:hAnsi="Helvetica" w:cs="Helvetica Neue"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b/>
          <w:sz w:val="18"/>
          <w:szCs w:val="18"/>
          <w:lang w:val="pt-BR"/>
        </w:rPr>
        <w:t>Considerações Finais</w:t>
      </w:r>
    </w:p>
    <w:p w14:paraId="7743BA08" w14:textId="03AD70CD" w:rsidR="0048252E" w:rsidRPr="008A0AAA" w:rsidRDefault="0048252E" w:rsidP="003C538A">
      <w:pPr>
        <w:widowControl w:val="0"/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sz w:val="18"/>
          <w:szCs w:val="18"/>
          <w:lang w:val="pt-BR"/>
        </w:rPr>
        <w:t>Apontamentos de professores, quanto a carga horária insuficiente, a dificuldade de acesso a laboratórios de ciências, a falta de equipamentos e materiais é uma realidade na educação básica</w:t>
      </w:r>
      <w:r w:rsidRPr="008A0AAA">
        <w:rPr>
          <w:rFonts w:ascii="Helvetica" w:eastAsia="Helvetica Neue" w:hAnsi="Helvetica" w:cs="Helvetica Neue"/>
          <w:color w:val="FF0000"/>
          <w:sz w:val="18"/>
          <w:szCs w:val="18"/>
          <w:lang w:val="pt-BR"/>
        </w:rPr>
        <w:t xml:space="preserve"> </w:t>
      </w:r>
      <w:r w:rsidRPr="008A0AAA">
        <w:rPr>
          <w:rFonts w:ascii="Helvetica" w:eastAsia="Helvetica Neue" w:hAnsi="Helvetica" w:cs="Helvetica Neue"/>
          <w:sz w:val="18"/>
          <w:szCs w:val="18"/>
          <w:lang w:val="pt-BR"/>
        </w:rPr>
        <w:t>brasileira. Por esse motivo, apresentamos um material, em que se propõe práticas experimentais de baixo custo, com recursos materiais acessíveis e experimentos de curta duração, como produto educacional essencial na contextualização dos conteúdos da Química.</w:t>
      </w:r>
    </w:p>
    <w:p w14:paraId="6BF22EB9" w14:textId="7FA29552" w:rsidR="003659A9" w:rsidRPr="008A0AAA" w:rsidRDefault="003659A9" w:rsidP="003C538A">
      <w:pPr>
        <w:widowControl w:val="0"/>
        <w:spacing w:line="288" w:lineRule="auto"/>
        <w:ind w:left="141" w:right="141" w:firstLine="294"/>
        <w:jc w:val="both"/>
        <w:rPr>
          <w:rFonts w:ascii="Helvetica" w:eastAsia="Helvetica Neue" w:hAnsi="Helvetica" w:cs="Helvetica Neue"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sz w:val="18"/>
          <w:szCs w:val="18"/>
          <w:lang w:val="pt-BR"/>
        </w:rPr>
        <w:t xml:space="preserve">O desenvolvimento cognitivo </w:t>
      </w:r>
      <w:r w:rsidR="00CC03DE" w:rsidRPr="008A0AAA">
        <w:rPr>
          <w:rFonts w:ascii="Helvetica" w:eastAsia="Helvetica Neue" w:hAnsi="Helvetica" w:cs="Helvetica Neue"/>
          <w:sz w:val="18"/>
          <w:szCs w:val="18"/>
          <w:lang w:val="pt-BR"/>
        </w:rPr>
        <w:t>crítico</w:t>
      </w:r>
      <w:r w:rsidRPr="008A0AAA">
        <w:rPr>
          <w:rFonts w:ascii="Helvetica" w:eastAsia="Helvetica Neue" w:hAnsi="Helvetica" w:cs="Helvetica Neue"/>
          <w:sz w:val="18"/>
          <w:szCs w:val="18"/>
          <w:lang w:val="pt-BR"/>
        </w:rPr>
        <w:t>-reflexivo é inviabilizado quando o ensino limita-se a memorização de fórmulas, equações, teorias desconexas do contexto e é na perspectiva de uma aprendizagem que seja signi</w:t>
      </w:r>
      <w:r w:rsidR="00CC03DE" w:rsidRPr="008A0AAA">
        <w:rPr>
          <w:rFonts w:ascii="Helvetica" w:eastAsia="Helvetica Neue" w:hAnsi="Helvetica" w:cs="Helvetica Neue"/>
          <w:sz w:val="18"/>
          <w:szCs w:val="18"/>
          <w:lang w:val="pt-BR"/>
        </w:rPr>
        <w:t>ficati</w:t>
      </w:r>
      <w:r w:rsidRPr="008A0AAA">
        <w:rPr>
          <w:rFonts w:ascii="Helvetica" w:eastAsia="Helvetica Neue" w:hAnsi="Helvetica" w:cs="Helvetica Neue"/>
          <w:sz w:val="18"/>
          <w:szCs w:val="18"/>
          <w:lang w:val="pt-BR"/>
        </w:rPr>
        <w:t xml:space="preserve">va para o estudante, que acreditamos que a prática experimental no ensino de Química é essencial para esse processo que possibilite ao estudante significar e ressignificar conceitos, compreender as transformações da </w:t>
      </w:r>
      <w:r w:rsidR="00CC03DE" w:rsidRPr="008A0AAA">
        <w:rPr>
          <w:rFonts w:ascii="Helvetica" w:eastAsia="Helvetica Neue" w:hAnsi="Helvetica" w:cs="Helvetica Neue"/>
          <w:sz w:val="18"/>
          <w:szCs w:val="18"/>
          <w:lang w:val="pt-BR"/>
        </w:rPr>
        <w:t>natureza</w:t>
      </w:r>
      <w:r w:rsidRPr="008A0AAA">
        <w:rPr>
          <w:rFonts w:ascii="Helvetica" w:eastAsia="Helvetica Neue" w:hAnsi="Helvetica" w:cs="Helvetica Neue"/>
          <w:sz w:val="18"/>
          <w:szCs w:val="18"/>
          <w:lang w:val="pt-BR"/>
        </w:rPr>
        <w:t>,  compreender o seu cotidiano</w:t>
      </w:r>
      <w:r w:rsidR="003C538A" w:rsidRPr="008A0AAA">
        <w:rPr>
          <w:rFonts w:ascii="Helvetica" w:eastAsia="Helvetica Neue" w:hAnsi="Helvetica" w:cs="Helvetica Neue"/>
          <w:sz w:val="18"/>
          <w:szCs w:val="18"/>
          <w:lang w:val="pt-BR"/>
        </w:rPr>
        <w:t xml:space="preserve">, e para além da </w:t>
      </w:r>
      <w:r w:rsidR="00CC03DE" w:rsidRPr="008A0AAA">
        <w:rPr>
          <w:rFonts w:ascii="Helvetica" w:eastAsia="Helvetica Neue" w:hAnsi="Helvetica" w:cs="Helvetica Neue"/>
          <w:sz w:val="18"/>
          <w:szCs w:val="18"/>
          <w:lang w:val="pt-BR"/>
        </w:rPr>
        <w:t>compreensão</w:t>
      </w:r>
      <w:r w:rsidR="003C538A" w:rsidRPr="008A0AAA">
        <w:rPr>
          <w:rFonts w:ascii="Helvetica" w:eastAsia="Helvetica Neue" w:hAnsi="Helvetica" w:cs="Helvetica Neue"/>
          <w:sz w:val="18"/>
          <w:szCs w:val="18"/>
          <w:lang w:val="pt-BR"/>
        </w:rPr>
        <w:t xml:space="preserve"> ser capaz de refletir e  ser capaz de solucionar problemas.</w:t>
      </w:r>
    </w:p>
    <w:p w14:paraId="62CA88DA" w14:textId="77777777" w:rsidR="000D3080" w:rsidRPr="008A0AAA" w:rsidRDefault="00214D0E">
      <w:pPr>
        <w:widowControl w:val="0"/>
        <w:spacing w:before="100" w:after="100" w:line="288" w:lineRule="auto"/>
        <w:ind w:left="141" w:right="141"/>
        <w:rPr>
          <w:rFonts w:ascii="Helvetica" w:eastAsia="Helvetica Neue" w:hAnsi="Helvetica" w:cs="Helvetica Neue"/>
          <w:b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b/>
          <w:sz w:val="18"/>
          <w:szCs w:val="18"/>
          <w:lang w:val="pt-BR"/>
        </w:rPr>
        <w:t>Agradecimentos</w:t>
      </w:r>
    </w:p>
    <w:p w14:paraId="3C911C79" w14:textId="77777777" w:rsidR="000D0B6F" w:rsidRPr="008A0AAA" w:rsidRDefault="000D0B6F" w:rsidP="000D0B6F">
      <w:pPr>
        <w:spacing w:line="360" w:lineRule="auto"/>
        <w:ind w:firstLine="141"/>
        <w:rPr>
          <w:rFonts w:ascii="Helvetica" w:hAnsi="Helvetica"/>
          <w:bCs/>
          <w:sz w:val="18"/>
          <w:szCs w:val="18"/>
        </w:rPr>
      </w:pPr>
      <w:r w:rsidRPr="008A0AAA">
        <w:rPr>
          <w:rFonts w:ascii="Helvetica" w:hAnsi="Helvetica"/>
          <w:bCs/>
          <w:sz w:val="18"/>
          <w:szCs w:val="18"/>
        </w:rPr>
        <w:t>Agradecemos a</w:t>
      </w:r>
      <w:r w:rsidRPr="008A0AAA">
        <w:rPr>
          <w:rFonts w:ascii="Helvetica" w:hAnsi="Helvetica"/>
          <w:color w:val="000000"/>
          <w:sz w:val="18"/>
          <w:szCs w:val="18"/>
        </w:rPr>
        <w:t>o IFPB e ao CNPq por todo apoio prestado.</w:t>
      </w:r>
    </w:p>
    <w:p w14:paraId="50F52810" w14:textId="77777777" w:rsidR="000D3080" w:rsidRPr="008A0AAA" w:rsidRDefault="00214D0E">
      <w:pPr>
        <w:widowControl w:val="0"/>
        <w:spacing w:before="100" w:after="100" w:line="288" w:lineRule="auto"/>
        <w:ind w:left="141" w:right="141"/>
        <w:rPr>
          <w:rFonts w:ascii="Helvetica" w:eastAsia="Helvetica Neue" w:hAnsi="Helvetica" w:cs="Helvetica Neue"/>
          <w:b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b/>
          <w:sz w:val="18"/>
          <w:szCs w:val="18"/>
          <w:lang w:val="pt-BR"/>
        </w:rPr>
        <w:t>Referências</w:t>
      </w:r>
    </w:p>
    <w:p w14:paraId="22170ABB" w14:textId="21383D39" w:rsidR="000D0B6F" w:rsidRPr="008A0AAA" w:rsidRDefault="000D0B6F">
      <w:pPr>
        <w:widowControl w:val="0"/>
        <w:spacing w:line="288" w:lineRule="auto"/>
        <w:ind w:left="141" w:right="141"/>
        <w:rPr>
          <w:rFonts w:ascii="Helvetica" w:hAnsi="Helvetica"/>
          <w:sz w:val="18"/>
          <w:szCs w:val="18"/>
          <w:shd w:val="clear" w:color="auto" w:fill="FFFFFF"/>
        </w:rPr>
      </w:pPr>
      <w:r w:rsidRPr="008A0AAA">
        <w:rPr>
          <w:rFonts w:ascii="Helvetica" w:hAnsi="Helvetica"/>
          <w:sz w:val="18"/>
          <w:szCs w:val="18"/>
          <w:shd w:val="clear" w:color="auto" w:fill="FFFFFF"/>
        </w:rPr>
        <w:t>BRASIL. PCN+ Ensino Médio: orientações curriculares complementares aos Parâmetros Curriculares Nacionais. Linguagens, códigos e suas tecnologias. Brasília: MEC/SEMTEC, 2002.</w:t>
      </w:r>
    </w:p>
    <w:p w14:paraId="05916B15" w14:textId="760AF9EE" w:rsidR="000D0B6F" w:rsidRPr="008A0AAA" w:rsidRDefault="000D0B6F">
      <w:pPr>
        <w:widowControl w:val="0"/>
        <w:spacing w:line="288" w:lineRule="auto"/>
        <w:ind w:left="141" w:right="141"/>
        <w:rPr>
          <w:rFonts w:ascii="Helvetica" w:hAnsi="Helvetica"/>
          <w:sz w:val="18"/>
          <w:szCs w:val="18"/>
          <w:shd w:val="clear" w:color="auto" w:fill="FFFFFF"/>
        </w:rPr>
      </w:pPr>
      <w:r w:rsidRPr="008A0AAA">
        <w:rPr>
          <w:rFonts w:ascii="Helvetica" w:hAnsi="Helvetica"/>
          <w:sz w:val="18"/>
          <w:szCs w:val="18"/>
          <w:shd w:val="clear" w:color="auto" w:fill="FFFFFF"/>
        </w:rPr>
        <w:t>BRASIL. Ministério da Educação: Secretaria de Educação Básica. Orientações Curriculares para o Ensino Médio: Ciências da natureza e suas tecnologias. Volume 2. Brasília, 2006.</w:t>
      </w:r>
    </w:p>
    <w:p w14:paraId="680ED151" w14:textId="3ABA8F45" w:rsidR="00CD0F67" w:rsidRPr="008A0AAA" w:rsidRDefault="0046404B">
      <w:pPr>
        <w:widowControl w:val="0"/>
        <w:spacing w:line="288" w:lineRule="auto"/>
        <w:ind w:left="141" w:right="141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DE SOUZA BARBOSA, </w:t>
      </w:r>
      <w:proofErr w:type="spellStart"/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Lauana</w:t>
      </w:r>
      <w:proofErr w:type="spellEnd"/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; PIRES, Diego Arantes Teixeira. A importância da Experimentação e da contextualização no </w:t>
      </w:r>
      <w:proofErr w:type="spellStart"/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encsino</w:t>
      </w:r>
      <w:proofErr w:type="spellEnd"/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de ciências e no ensino de Química. Revista CTS IFG Luziânia, v1. N.2, 2017.</w:t>
      </w:r>
      <w:r w:rsidR="00CD0F67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Barbosa e Pires (2016, p .3)</w:t>
      </w:r>
    </w:p>
    <w:p w14:paraId="1B80F2A9" w14:textId="77777777" w:rsidR="0046404B" w:rsidRPr="008A0AAA" w:rsidRDefault="0046404B" w:rsidP="0046404B">
      <w:pPr>
        <w:widowControl w:val="0"/>
        <w:spacing w:line="288" w:lineRule="auto"/>
        <w:ind w:left="141" w:right="141"/>
        <w:rPr>
          <w:rFonts w:ascii="Helvetica" w:eastAsia="Helvetica Neue" w:hAnsi="Helvetica" w:cs="Helvetica Neue"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sz w:val="18"/>
          <w:szCs w:val="18"/>
          <w:lang w:val="pt-BR"/>
        </w:rPr>
        <w:t>DA FONSECA, João José Saraiva. Apostila de metodologia da pesquisa científica. João José Saraiva da Fonseca, 2002</w:t>
      </w:r>
    </w:p>
    <w:p w14:paraId="3CE9F5E4" w14:textId="5538C17A" w:rsidR="000D3080" w:rsidRPr="008A0AAA" w:rsidRDefault="00CD0F67">
      <w:pPr>
        <w:widowControl w:val="0"/>
        <w:spacing w:line="288" w:lineRule="auto"/>
        <w:ind w:left="141" w:right="141"/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</w:pP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DA L</w:t>
      </w:r>
      <w:r w:rsidR="000D0B6F"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UZ</w:t>
      </w:r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, Angélica Ramos; LONGHIN, Sandra Regina. A experimentação demonstrativa do ensino de química promovendo o conhecimento cientifico. </w:t>
      </w:r>
      <w:proofErr w:type="spellStart"/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Scientia</w:t>
      </w:r>
      <w:proofErr w:type="spellEnd"/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 xml:space="preserve"> </w:t>
      </w:r>
      <w:proofErr w:type="spellStart"/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Naturalis</w:t>
      </w:r>
      <w:proofErr w:type="spellEnd"/>
      <w:r w:rsidRPr="008A0AAA">
        <w:rPr>
          <w:rFonts w:ascii="Helvetica" w:eastAsia="Helvetica Neue" w:hAnsi="Helvetica" w:cs="Helvetica Neue"/>
          <w:color w:val="000000"/>
          <w:sz w:val="18"/>
          <w:szCs w:val="18"/>
          <w:lang w:val="pt-BR"/>
        </w:rPr>
        <w:t>, v.1, n.4, 2019</w:t>
      </w:r>
    </w:p>
    <w:p w14:paraId="768B0404" w14:textId="77777777" w:rsidR="0046404B" w:rsidRPr="008A0AAA" w:rsidRDefault="0046404B">
      <w:pPr>
        <w:widowControl w:val="0"/>
        <w:spacing w:line="288" w:lineRule="auto"/>
        <w:ind w:left="141" w:right="141"/>
        <w:rPr>
          <w:rFonts w:ascii="Helvetica" w:eastAsia="Helvetica Neue" w:hAnsi="Helvetica" w:cs="Helvetica Neue"/>
          <w:sz w:val="18"/>
          <w:szCs w:val="18"/>
          <w:lang w:val="pt-BR"/>
        </w:rPr>
      </w:pPr>
    </w:p>
    <w:sectPr w:rsidR="0046404B" w:rsidRPr="008A0AAA">
      <w:headerReference w:type="default" r:id="rId11"/>
      <w:footerReference w:type="default" r:id="rId12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19F4D" w14:textId="77777777" w:rsidR="00991E72" w:rsidRDefault="00991E72">
      <w:r>
        <w:separator/>
      </w:r>
    </w:p>
  </w:endnote>
  <w:endnote w:type="continuationSeparator" w:id="0">
    <w:p w14:paraId="06D3EF82" w14:textId="77777777" w:rsidR="00991E72" w:rsidRDefault="0099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5B13E" w14:textId="77777777" w:rsidR="000D3080" w:rsidRDefault="000D3080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464D8418" w14:textId="77777777" w:rsidR="000D3080" w:rsidRDefault="00214D0E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30618AB7" wp14:editId="291350F2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82395" w14:textId="77777777" w:rsidR="00991E72" w:rsidRDefault="00991E72">
      <w:r>
        <w:separator/>
      </w:r>
    </w:p>
  </w:footnote>
  <w:footnote w:type="continuationSeparator" w:id="0">
    <w:p w14:paraId="4D9D9BDD" w14:textId="77777777" w:rsidR="00991E72" w:rsidRDefault="00991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BA47B" w14:textId="77777777" w:rsidR="000D3080" w:rsidRDefault="00214D0E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  <w:lang w:val="pt-BR"/>
      </w:rPr>
      <w:drawing>
        <wp:inline distT="114300" distB="114300" distL="114300" distR="114300" wp14:anchorId="3A6E6D1C" wp14:editId="395C98E0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53E40"/>
    <w:multiLevelType w:val="multilevel"/>
    <w:tmpl w:val="B8FA014A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1">
    <w:nsid w:val="3D8B3795"/>
    <w:multiLevelType w:val="multilevel"/>
    <w:tmpl w:val="2FB0BE2C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57A817C4"/>
    <w:multiLevelType w:val="multilevel"/>
    <w:tmpl w:val="E32CC270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80"/>
    <w:rsid w:val="0001006B"/>
    <w:rsid w:val="00072988"/>
    <w:rsid w:val="00082076"/>
    <w:rsid w:val="000B54C0"/>
    <w:rsid w:val="000C19F6"/>
    <w:rsid w:val="000C4DF0"/>
    <w:rsid w:val="000D07B0"/>
    <w:rsid w:val="000D0B6F"/>
    <w:rsid w:val="000D3080"/>
    <w:rsid w:val="001024AF"/>
    <w:rsid w:val="00111B40"/>
    <w:rsid w:val="00122089"/>
    <w:rsid w:val="001220C0"/>
    <w:rsid w:val="001504FB"/>
    <w:rsid w:val="0015728E"/>
    <w:rsid w:val="00214D0E"/>
    <w:rsid w:val="00214E6D"/>
    <w:rsid w:val="00236B64"/>
    <w:rsid w:val="00242409"/>
    <w:rsid w:val="002733F4"/>
    <w:rsid w:val="002832E3"/>
    <w:rsid w:val="002A2C1E"/>
    <w:rsid w:val="00332589"/>
    <w:rsid w:val="00362EC8"/>
    <w:rsid w:val="00363AAA"/>
    <w:rsid w:val="003659A9"/>
    <w:rsid w:val="00393564"/>
    <w:rsid w:val="003C538A"/>
    <w:rsid w:val="00423C0C"/>
    <w:rsid w:val="0042745C"/>
    <w:rsid w:val="0046404B"/>
    <w:rsid w:val="00477215"/>
    <w:rsid w:val="0048252E"/>
    <w:rsid w:val="004966D3"/>
    <w:rsid w:val="004A488E"/>
    <w:rsid w:val="004C00FE"/>
    <w:rsid w:val="004E1C07"/>
    <w:rsid w:val="005122EF"/>
    <w:rsid w:val="00546D82"/>
    <w:rsid w:val="0056316A"/>
    <w:rsid w:val="00572D04"/>
    <w:rsid w:val="00572D18"/>
    <w:rsid w:val="005920E0"/>
    <w:rsid w:val="005A20C3"/>
    <w:rsid w:val="005C0522"/>
    <w:rsid w:val="00641C54"/>
    <w:rsid w:val="0069049C"/>
    <w:rsid w:val="006A38D5"/>
    <w:rsid w:val="00752D05"/>
    <w:rsid w:val="00752DEA"/>
    <w:rsid w:val="007A5F22"/>
    <w:rsid w:val="007B5E17"/>
    <w:rsid w:val="007C51B9"/>
    <w:rsid w:val="007E420A"/>
    <w:rsid w:val="007F24FC"/>
    <w:rsid w:val="007F4866"/>
    <w:rsid w:val="00810336"/>
    <w:rsid w:val="00836ECF"/>
    <w:rsid w:val="0083784A"/>
    <w:rsid w:val="00853056"/>
    <w:rsid w:val="00896FF9"/>
    <w:rsid w:val="008A0AAA"/>
    <w:rsid w:val="008F0DF9"/>
    <w:rsid w:val="00921931"/>
    <w:rsid w:val="009534A9"/>
    <w:rsid w:val="0096380D"/>
    <w:rsid w:val="00973A32"/>
    <w:rsid w:val="00987FEB"/>
    <w:rsid w:val="00991E72"/>
    <w:rsid w:val="009B1107"/>
    <w:rsid w:val="009B306C"/>
    <w:rsid w:val="009C0404"/>
    <w:rsid w:val="009F1B0E"/>
    <w:rsid w:val="00A034B0"/>
    <w:rsid w:val="00A158E0"/>
    <w:rsid w:val="00A32301"/>
    <w:rsid w:val="00A358D3"/>
    <w:rsid w:val="00A41E19"/>
    <w:rsid w:val="00A6341C"/>
    <w:rsid w:val="00AA3414"/>
    <w:rsid w:val="00B3187B"/>
    <w:rsid w:val="00BA04B7"/>
    <w:rsid w:val="00BA4B2D"/>
    <w:rsid w:val="00BC18E2"/>
    <w:rsid w:val="00BC2DFE"/>
    <w:rsid w:val="00BE305E"/>
    <w:rsid w:val="00BF657C"/>
    <w:rsid w:val="00C05E46"/>
    <w:rsid w:val="00C10854"/>
    <w:rsid w:val="00C14193"/>
    <w:rsid w:val="00CC03DE"/>
    <w:rsid w:val="00CD0F67"/>
    <w:rsid w:val="00D0577A"/>
    <w:rsid w:val="00D12EDE"/>
    <w:rsid w:val="00D64299"/>
    <w:rsid w:val="00D917E2"/>
    <w:rsid w:val="00D94627"/>
    <w:rsid w:val="00DD559C"/>
    <w:rsid w:val="00DF0B01"/>
    <w:rsid w:val="00E12CBB"/>
    <w:rsid w:val="00E30E1E"/>
    <w:rsid w:val="00E54707"/>
    <w:rsid w:val="00E57D32"/>
    <w:rsid w:val="00E76BFA"/>
    <w:rsid w:val="00E958CA"/>
    <w:rsid w:val="00E96EEF"/>
    <w:rsid w:val="00EA0B3A"/>
    <w:rsid w:val="00EE49B9"/>
    <w:rsid w:val="00F00B05"/>
    <w:rsid w:val="00F06B26"/>
    <w:rsid w:val="00F80914"/>
    <w:rsid w:val="00FC00A5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2F15E"/>
  <w15:docId w15:val="{CD1F94AF-F086-49C6-AB38-A3B0C8EA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52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2745C"/>
    <w:pPr>
      <w:spacing w:before="100" w:beforeAutospacing="1" w:after="100" w:afterAutospacing="1"/>
    </w:pPr>
    <w:rPr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3325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258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25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25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258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25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58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F4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lira@ifpb.edu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asmoura180204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1441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Moisés</dc:creator>
  <cp:lastModifiedBy>Laura Moisés</cp:lastModifiedBy>
  <cp:revision>3</cp:revision>
  <dcterms:created xsi:type="dcterms:W3CDTF">2021-09-30T13:06:00Z</dcterms:created>
  <dcterms:modified xsi:type="dcterms:W3CDTF">2021-09-30T19:49:00Z</dcterms:modified>
</cp:coreProperties>
</file>