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9A59" w14:textId="56CC84C2" w:rsidR="003A693C" w:rsidRDefault="00F37ECD">
      <w:pPr>
        <w:keepNext/>
        <w:widowControl w:val="0"/>
        <w:spacing w:before="100" w:after="160" w:line="259" w:lineRule="auto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bCs/>
          <w:color w:val="000000" w:themeColor="text1"/>
          <w:sz w:val="18"/>
          <w:szCs w:val="18"/>
          <w:lang w:val="pt-BR"/>
        </w:rPr>
        <w:t>VERIFICAÇÃO DA POTABILIDADE DA ÁGUA DE POÇO TUBULAR LOCALIZADO NA CIDADE DE JUAZEIRINHO - PB, MICRORREGIÃO DO SERIDÓ ORIENTAL DA PARAÍBA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18527C40" w14:textId="599D6F7C" w:rsidR="00A92323" w:rsidRDefault="00A92323" w:rsidP="00A923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MARILIA FERNANDA P</w:t>
      </w:r>
      <w:r w:rsidR="00EE4AC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EREIRA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EE4AC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ALES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GABRIEL (IFPB Campus Campina Grande), CAILANE BARBOSA G</w:t>
      </w:r>
      <w:r w:rsidR="00EE4ACA">
        <w:rPr>
          <w:rFonts w:ascii="Helvetica Neue" w:eastAsia="Helvetica Neue" w:hAnsi="Helvetica Neue" w:cs="Helvetica Neue"/>
          <w:color w:val="000000"/>
          <w:sz w:val="18"/>
          <w:szCs w:val="18"/>
        </w:rPr>
        <w:t>OMES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GUERRA (IFPB Campus Campina Grande), IARITSA FABRÍCIA L</w:t>
      </w:r>
      <w:r w:rsidR="00EE4ACA">
        <w:rPr>
          <w:rFonts w:ascii="Helvetica Neue" w:eastAsia="Helvetica Neue" w:hAnsi="Helvetica Neue" w:cs="Helvetica Neue"/>
          <w:color w:val="000000"/>
          <w:sz w:val="18"/>
          <w:szCs w:val="18"/>
        </w:rPr>
        <w:t>UNA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CRUZ (IFPB Campus Campina Grande), JOSENILDO I</w:t>
      </w:r>
      <w:r w:rsidR="00EE4ACA">
        <w:rPr>
          <w:rFonts w:ascii="Helvetica Neue" w:eastAsia="Helvetica Neue" w:hAnsi="Helvetica Neue" w:cs="Helvetica Neue"/>
          <w:color w:val="000000"/>
          <w:sz w:val="18"/>
          <w:szCs w:val="18"/>
        </w:rPr>
        <w:t>SIDRO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DOS SANTOS FILHO (UFCG Campus Campina Grande), ALDENI BARBOSA DA SILVA (</w:t>
      </w:r>
      <w:r w:rsidR="00EE4ACA">
        <w:rPr>
          <w:rFonts w:ascii="Helvetica Neue" w:eastAsia="Helvetica Neue" w:hAnsi="Helvetica Neue" w:cs="Helvetica Neue"/>
          <w:color w:val="000000"/>
          <w:sz w:val="18"/>
          <w:szCs w:val="18"/>
        </w:rPr>
        <w:t>IFPB</w:t>
      </w:r>
      <w:r w:rsidR="00EE4AC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Campus Esperança), EDMILSON D</w:t>
      </w:r>
      <w:r w:rsidR="00EE4ACA">
        <w:rPr>
          <w:rFonts w:ascii="Helvetica Neue" w:eastAsia="Helvetica Neue" w:hAnsi="Helvetica Neue" w:cs="Helvetica Neue"/>
          <w:color w:val="000000"/>
          <w:sz w:val="18"/>
          <w:szCs w:val="18"/>
        </w:rPr>
        <w:t>ANTAS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SILVA FILHO (</w:t>
      </w:r>
      <w:r w:rsidR="00EE4ACA" w:rsidRPr="00EE4ACA">
        <w:rPr>
          <w:rFonts w:ascii="Helvetica Neue" w:eastAsia="Helvetica Neue" w:hAnsi="Helvetica Neue" w:cs="Helvetica Neue" w:hint="eastAsia"/>
          <w:color w:val="000000"/>
          <w:sz w:val="18"/>
          <w:szCs w:val="18"/>
        </w:rPr>
        <w:t>IFPB</w:t>
      </w:r>
      <w:r w:rsidR="00097C0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Campus Campina Grande)</w:t>
      </w:r>
    </w:p>
    <w:p w14:paraId="0F719BEA" w14:textId="77777777" w:rsidR="00A92323" w:rsidRDefault="00A92323" w:rsidP="00A923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hint="eastAsia"/>
        </w:rPr>
      </w:pPr>
    </w:p>
    <w:p w14:paraId="3152EEB6" w14:textId="58F6894F" w:rsidR="003A693C" w:rsidRDefault="00F37ECD" w:rsidP="00A92323">
      <w:pPr>
        <w:keepNext/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</w:pPr>
      <w:r>
        <w:rPr>
          <w:rFonts w:ascii="Helvetica Neue" w:eastAsia="Helvetica Neue" w:hAnsi="Helvetica Neue" w:cs="Helvetica Neue"/>
          <w:b/>
          <w:bCs/>
          <w:color w:val="000000"/>
          <w:sz w:val="16"/>
          <w:szCs w:val="16"/>
          <w:shd w:val="clear" w:color="auto" w:fill="FFFFFF"/>
        </w:rPr>
        <w:t>E-mails:</w:t>
      </w:r>
      <w:r>
        <w:rPr>
          <w:rFonts w:ascii="Helvetica Neue" w:eastAsia="Helvetica Neue" w:hAnsi="Helvetica Neue" w:cs="Helvetica Neue"/>
          <w:color w:val="000000"/>
          <w:sz w:val="16"/>
          <w:szCs w:val="16"/>
          <w:shd w:val="clear" w:color="auto" w:fill="FFFFFF"/>
        </w:rPr>
        <w:t xml:space="preserve"> </w:t>
      </w:r>
      <w:r w:rsidR="00A92323" w:rsidRPr="00A92323">
        <w:rPr>
          <w:rFonts w:ascii="Helvetica Neue" w:eastAsia="Helvetica Neue" w:hAnsi="Helvetica Neue" w:cs="Helvetica Neue" w:hint="eastAsia"/>
          <w:color w:val="000000"/>
          <w:sz w:val="16"/>
          <w:szCs w:val="16"/>
          <w:shd w:val="clear" w:color="auto" w:fill="FFFFFF"/>
        </w:rPr>
        <w:t>marilia.fernanda@academico.ifpb.edu.br</w:t>
      </w:r>
      <w:r w:rsidR="00A92323">
        <w:rPr>
          <w:rFonts w:ascii="Helvetica Neue" w:eastAsia="Helvetica Neue" w:hAnsi="Helvetica Neue" w:cs="Helvetica Neue"/>
          <w:color w:val="000000"/>
          <w:sz w:val="16"/>
          <w:szCs w:val="16"/>
          <w:shd w:val="clear" w:color="auto" w:fill="FFFFFF"/>
        </w:rPr>
        <w:t xml:space="preserve">, cailane.guerra5555@gmail.com, </w:t>
      </w:r>
      <w:r w:rsidR="00A92323" w:rsidRPr="00A92323">
        <w:rPr>
          <w:rFonts w:ascii="Helvetica Neue" w:eastAsia="Helvetica Neue" w:hAnsi="Helvetica Neue" w:cs="Helvetica Neue" w:hint="eastAsia"/>
          <w:color w:val="000000"/>
          <w:sz w:val="16"/>
          <w:szCs w:val="16"/>
          <w:shd w:val="clear" w:color="auto" w:fill="FFFFFF"/>
        </w:rPr>
        <w:t>iaritsa.luna@academico.ifpb.edu.br</w:t>
      </w:r>
      <w:r w:rsidR="00A92323">
        <w:rPr>
          <w:rFonts w:ascii="Helvetica Neue" w:eastAsia="Helvetica Neue" w:hAnsi="Helvetica Neue" w:cs="Helvetica Neue"/>
          <w:color w:val="000000"/>
          <w:sz w:val="16"/>
          <w:szCs w:val="16"/>
          <w:shd w:val="clear" w:color="auto" w:fill="FFFFFF"/>
        </w:rPr>
        <w:t xml:space="preserve">, </w:t>
      </w:r>
      <w:r w:rsidR="00A92323" w:rsidRPr="00A92323">
        <w:rPr>
          <w:rFonts w:ascii="Helvetica Neue" w:eastAsia="Helvetica Neue" w:hAnsi="Helvetica Neue" w:cs="Helvetica Neue" w:hint="eastAsia"/>
          <w:color w:val="000000"/>
          <w:sz w:val="16"/>
          <w:szCs w:val="16"/>
          <w:shd w:val="clear" w:color="auto" w:fill="FFFFFF"/>
        </w:rPr>
        <w:t>josenildo.isidro@academico.ifpb.edu.br</w:t>
      </w:r>
      <w:r w:rsidR="00A92323">
        <w:rPr>
          <w:rFonts w:ascii="Helvetica Neue" w:eastAsia="Helvetica Neue" w:hAnsi="Helvetica Neue" w:cs="Helvetica Neue"/>
          <w:color w:val="000000"/>
          <w:sz w:val="16"/>
          <w:szCs w:val="16"/>
          <w:shd w:val="clear" w:color="auto" w:fill="FFFFFF"/>
        </w:rPr>
        <w:t xml:space="preserve">, </w:t>
      </w:r>
      <w:r w:rsidR="00A92323" w:rsidRPr="00A92323">
        <w:rPr>
          <w:rFonts w:ascii="Helvetica Neue" w:eastAsia="Helvetica Neue" w:hAnsi="Helvetica Neue" w:cs="Helvetica Neue" w:hint="eastAsia"/>
          <w:color w:val="000000"/>
          <w:sz w:val="16"/>
          <w:szCs w:val="16"/>
          <w:shd w:val="clear" w:color="auto" w:fill="FFFFFF"/>
        </w:rPr>
        <w:t>aldeni.silva@ifpb.edu.br</w:t>
      </w:r>
      <w:r w:rsidR="00A92323">
        <w:rPr>
          <w:rFonts w:ascii="Helvetica Neue" w:eastAsia="Helvetica Neue" w:hAnsi="Helvetica Neue" w:cs="Helvetica Neue"/>
          <w:color w:val="000000"/>
          <w:sz w:val="16"/>
          <w:szCs w:val="16"/>
          <w:shd w:val="clear" w:color="auto" w:fill="FFFFFF"/>
        </w:rPr>
        <w:t xml:space="preserve">, </w:t>
      </w:r>
      <w:r w:rsidR="00A92323" w:rsidRPr="00A92323">
        <w:rPr>
          <w:rFonts w:ascii="Helvetica Neue" w:eastAsia="Helvetica Neue" w:hAnsi="Helvetica Neue" w:cs="Helvetica Neue" w:hint="eastAsia"/>
          <w:color w:val="000000"/>
          <w:sz w:val="16"/>
          <w:szCs w:val="16"/>
          <w:shd w:val="clear" w:color="auto" w:fill="FFFFFF"/>
        </w:rPr>
        <w:t>edmilson.silva@ifpb.edu.br</w:t>
      </w:r>
      <w:r w:rsidR="00D52827">
        <w:rPr>
          <w:rFonts w:ascii="Helvetica Neue" w:eastAsia="Helvetica Neue" w:hAnsi="Helvetica Neue" w:cs="Helvetica Neue"/>
          <w:color w:val="000000"/>
          <w:sz w:val="16"/>
          <w:szCs w:val="16"/>
          <w:shd w:val="clear" w:color="auto" w:fill="FFFFFF"/>
        </w:rPr>
        <w:t>.</w:t>
      </w:r>
    </w:p>
    <w:p w14:paraId="4984675A" w14:textId="5CBBC308" w:rsidR="003A693C" w:rsidRDefault="00F37ECD" w:rsidP="08FF71CE">
      <w:pPr>
        <w:keepNext/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sz w:val="16"/>
          <w:shd w:val="clear" w:color="auto" w:fill="FFFFFF"/>
        </w:rPr>
      </w:pPr>
      <w:r w:rsidRPr="08FF71CE">
        <w:rPr>
          <w:rFonts w:ascii="Helvetica Neue" w:eastAsia="Helvetica Neue" w:hAnsi="Helvetica Neue" w:cs="Helvetica Neue"/>
          <w:b/>
          <w:bCs/>
          <w:sz w:val="16"/>
          <w:szCs w:val="16"/>
          <w:shd w:val="clear" w:color="auto" w:fill="FFFFFF"/>
        </w:rPr>
        <w:t xml:space="preserve">Área de conhecimento: </w:t>
      </w:r>
      <w:r w:rsidRPr="08FF71CE">
        <w:rPr>
          <w:rFonts w:ascii="Helvetica Neue" w:eastAsia="Helvetica Neue" w:hAnsi="Helvetica Neue" w:cs="Helvetica Neue"/>
          <w:sz w:val="16"/>
          <w:szCs w:val="16"/>
          <w:shd w:val="clear" w:color="auto" w:fill="FFFFFF"/>
        </w:rPr>
        <w:t>4.06.00.00-9 Saúde Coletiva.</w:t>
      </w:r>
    </w:p>
    <w:p w14:paraId="3813DADF" w14:textId="77777777" w:rsidR="003A693C" w:rsidRDefault="00F37ECD" w:rsidP="00A92323">
      <w:pPr>
        <w:keepNext/>
        <w:widowControl w:val="0"/>
        <w:spacing w:before="100" w:after="100"/>
        <w:ind w:left="141" w:right="141"/>
        <w:jc w:val="both"/>
        <w:rPr>
          <w:rFonts w:hint="eastAsia"/>
        </w:rPr>
      </w:pPr>
      <w:r>
        <w:rPr>
          <w:rFonts w:ascii="Helvetica Neue" w:eastAsia="Helvetica Neue" w:hAnsi="Helvetica Neue" w:cs="Helvetica Neue"/>
          <w:b/>
          <w:bCs/>
          <w:color w:val="00000A"/>
          <w:sz w:val="16"/>
          <w:szCs w:val="16"/>
          <w:shd w:val="clear" w:color="auto" w:fill="FFFFFF"/>
        </w:rPr>
        <w:t>Palavras-Chave</w:t>
      </w:r>
      <w:r>
        <w:rPr>
          <w:rFonts w:ascii="Helvetica Neue" w:eastAsia="Helvetica Neue" w:hAnsi="Helvetica Neue" w:cs="Helvetica Neue"/>
          <w:color w:val="00000A"/>
          <w:sz w:val="16"/>
          <w:szCs w:val="16"/>
          <w:shd w:val="clear" w:color="auto" w:fill="FFFFFF"/>
        </w:rPr>
        <w:t>: água subterrânea; análises físico-químicas; semiárido.</w:t>
      </w:r>
    </w:p>
    <w:p w14:paraId="672A6659" w14:textId="77777777" w:rsidR="003A693C" w:rsidRDefault="003A693C">
      <w:pPr>
        <w:keepNext/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A"/>
          <w:sz w:val="16"/>
          <w:szCs w:val="16"/>
          <w:shd w:val="clear" w:color="auto" w:fill="FFFFFF"/>
        </w:rPr>
      </w:pPr>
    </w:p>
    <w:p w14:paraId="28E8BE6E" w14:textId="77777777" w:rsidR="003A693C" w:rsidRDefault="00F37ECD">
      <w:pPr>
        <w:keepNext/>
        <w:widowControl w:val="0"/>
        <w:numPr>
          <w:ilvl w:val="0"/>
          <w:numId w:val="2"/>
        </w:numPr>
        <w:spacing w:before="100" w:after="240"/>
        <w:ind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  <w:shd w:val="clear" w:color="auto" w:fill="FFFFFF"/>
        </w:rPr>
        <w:t>Introdução</w:t>
      </w:r>
    </w:p>
    <w:p w14:paraId="00399DE1" w14:textId="4BF9BF16" w:rsidR="003A693C" w:rsidRDefault="00F37ECD" w:rsidP="3C9FDEDB">
      <w:pPr>
        <w:keepNext/>
        <w:widowControl w:val="0"/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color w:val="00000A"/>
          <w:sz w:val="18"/>
          <w:szCs w:val="18"/>
          <w:shd w:val="clear" w:color="auto" w:fill="FFFFFF"/>
        </w:rPr>
        <w:t xml:space="preserve">A água é um recurso essencial para a sobrevivência dos seres vivos e para o desenvolvimento das atividades humanas. Segundo Oliveira </w:t>
      </w:r>
      <w:r w:rsidRPr="3C9FDEDB">
        <w:rPr>
          <w:rFonts w:ascii="Helvetica Neue" w:eastAsia="Helvetica Neue" w:hAnsi="Helvetica Neue" w:cs="Helvetica Neue"/>
          <w:i/>
          <w:iCs/>
          <w:color w:val="00000A"/>
          <w:sz w:val="18"/>
          <w:szCs w:val="18"/>
          <w:shd w:val="clear" w:color="auto" w:fill="FFFFFF"/>
        </w:rPr>
        <w:t>et al.</w:t>
      </w:r>
      <w:r w:rsidRPr="3C9FDEDB">
        <w:rPr>
          <w:rFonts w:ascii="Helvetica Neue" w:eastAsia="Helvetica Neue" w:hAnsi="Helvetica Neue" w:cs="Helvetica Neue"/>
          <w:color w:val="00000A"/>
          <w:sz w:val="18"/>
          <w:szCs w:val="18"/>
          <w:shd w:val="clear" w:color="auto" w:fill="FFFFFF"/>
        </w:rPr>
        <w:t xml:space="preserve"> (2019), o </w:t>
      </w:r>
      <w:r w:rsidRPr="3C9FDEDB">
        <w:rPr>
          <w:rFonts w:ascii="Helvetica Neue" w:eastAsia="Helvetica Neue" w:hAnsi="Helvetica Neue" w:cs="Helvetica Neue"/>
          <w:color w:val="00000A"/>
          <w:sz w:val="18"/>
          <w:szCs w:val="18"/>
        </w:rPr>
        <w:t xml:space="preserve">Brasil está entre os países com maior disponibilidade de água doce do mundo, com 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>aproximadamente</w:t>
      </w:r>
      <w:r w:rsidRPr="3C9FDEDB">
        <w:rPr>
          <w:rFonts w:ascii="Helvetica Neue" w:eastAsia="Helvetica Neue" w:hAnsi="Helvetica Neue" w:cs="Helvetica Neue"/>
          <w:color w:val="800000"/>
          <w:sz w:val="18"/>
          <w:szCs w:val="18"/>
        </w:rPr>
        <w:t xml:space="preserve"> </w:t>
      </w:r>
      <w:r w:rsidRPr="3C9FDEDB">
        <w:rPr>
          <w:rFonts w:ascii="Helvetica Neue" w:eastAsia="Helvetica Neue" w:hAnsi="Helvetica Neue" w:cs="Helvetica Neue"/>
          <w:color w:val="00000A"/>
          <w:sz w:val="18"/>
          <w:szCs w:val="18"/>
        </w:rPr>
        <w:t xml:space="preserve">12% do volume total do planeta, tendo como destaque as águas subterrâneas dos aquíferos Guarani e Alter do Chão. </w:t>
      </w:r>
      <w:r w:rsidRPr="3C9FDEDB">
        <w:rPr>
          <w:rFonts w:ascii="Helvetica Neue" w:eastAsia="Helvetica Neue" w:hAnsi="Helvetica Neue" w:cs="Helvetica Neue"/>
          <w:color w:val="00000A"/>
          <w:sz w:val="18"/>
          <w:szCs w:val="18"/>
          <w:shd w:val="clear" w:color="auto" w:fill="FFFFFF"/>
        </w:rPr>
        <w:t xml:space="preserve">Na região do Semiárido Nordestino, uma grande preocupação é com a carência de água, pois os índices de pluviosidade são baixos durante a maior parte do ano, dessa forma, </w:t>
      </w:r>
      <w:r w:rsidRPr="3C9FDEDB">
        <w:rPr>
          <w:rFonts w:ascii="Helvetica Neue" w:eastAsia="Helvetica Neue" w:hAnsi="Helvetica Neue" w:cs="Helvetica Neue"/>
          <w:color w:val="00000A"/>
          <w:sz w:val="18"/>
          <w:szCs w:val="18"/>
        </w:rPr>
        <w:t>para suprir a demanda por água com qualidade ideal para o consumo se faz necessário a extração das águas subterrâneas.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 De acordo com Eckhard </w:t>
      </w:r>
      <w:r w:rsidRPr="3C9FDEDB">
        <w:rPr>
          <w:rFonts w:ascii="Helvetica Neue" w:eastAsia="Helvetica Neue" w:hAnsi="Helvetica Neue" w:cs="Helvetica Neue"/>
          <w:i/>
          <w:iCs/>
          <w:sz w:val="18"/>
          <w:szCs w:val="18"/>
        </w:rPr>
        <w:t>et al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>. (2009), desde meados da década de 1950, as águas subterrâneas têm assumindo uma importância cada vez mais relevante como fonte de abastecimento.</w:t>
      </w:r>
    </w:p>
    <w:p w14:paraId="2C3C0DDC" w14:textId="5601E509" w:rsidR="003A693C" w:rsidRDefault="00F37ECD">
      <w:pPr>
        <w:keepNext/>
        <w:widowControl w:val="0"/>
        <w:spacing w:line="288" w:lineRule="auto"/>
        <w:ind w:left="141" w:right="141" w:firstLine="300"/>
        <w:jc w:val="both"/>
        <w:rPr>
          <w:rFonts w:hint="eastAsia"/>
        </w:rPr>
      </w:pPr>
      <w:r w:rsidRPr="08FF71CE">
        <w:rPr>
          <w:rFonts w:ascii="Helvetica Neue" w:eastAsia="Helvetica Neue" w:hAnsi="Helvetica Neue" w:cs="Helvetica Neue"/>
          <w:color w:val="00000A"/>
          <w:sz w:val="18"/>
          <w:szCs w:val="18"/>
        </w:rPr>
        <w:t>No geral a qualidade química da água subterrânea é controlada por fatores hidrogeológicos,</w:t>
      </w:r>
      <w:r w:rsidRPr="08FF71CE">
        <w:rPr>
          <w:rFonts w:ascii="Helvetica Neue" w:eastAsia="Helvetica Neue" w:hAnsi="Helvetica Neue" w:cs="Helvetica Neue"/>
          <w:sz w:val="18"/>
          <w:szCs w:val="18"/>
        </w:rPr>
        <w:t xml:space="preserve"> como frequência </w:t>
      </w:r>
      <w:r w:rsidRPr="08FF71CE">
        <w:rPr>
          <w:rFonts w:ascii="Helvetica Neue" w:eastAsia="Helvetica Neue" w:hAnsi="Helvetica Neue" w:cs="Helvetica Neue"/>
          <w:color w:val="00000A"/>
          <w:sz w:val="18"/>
          <w:szCs w:val="18"/>
        </w:rPr>
        <w:t>e qualidade de recarga, tipo de aquífero, litologias percoladas, tempo de residência, entre outros (MANASSÉS, 2009). Na região semiárida, a preocupação para conseguir água acaba fazendo com que poços sejam perfurados sem um estudo prévio, podendo fazer com que a água extraída tenha características adversas, como a elevada salinidade, o que é muito comum na região Nordeste, especialmente em aquíferos fissurados. Na atualidade, a portaria GM/MS nº 888 de 04 de maio de 2021 dispõe sobre os procedimentos de controle e vigilância da água para consumo humano.</w:t>
      </w:r>
    </w:p>
    <w:p w14:paraId="625F049D" w14:textId="77777777" w:rsidR="003A693C" w:rsidRDefault="00F37ECD">
      <w:pPr>
        <w:keepNext/>
        <w:widowControl w:val="0"/>
        <w:spacing w:line="288" w:lineRule="auto"/>
        <w:ind w:left="141" w:right="141" w:firstLine="300"/>
        <w:jc w:val="both"/>
        <w:rPr>
          <w:rFonts w:hint="eastAsia"/>
        </w:rPr>
      </w:pPr>
      <w:r w:rsidRPr="3C9FDEDB">
        <w:rPr>
          <w:rFonts w:ascii="Helvetica Neue" w:eastAsia="Helvetica Neue" w:hAnsi="Helvetica Neue" w:cs="Helvetica Neue"/>
          <w:color w:val="00000A"/>
          <w:sz w:val="18"/>
          <w:szCs w:val="18"/>
          <w:shd w:val="clear" w:color="auto" w:fill="FFFFFF"/>
        </w:rPr>
        <w:t xml:space="preserve">O município de Juazeirinho, localizado na microrregião do Seridó Oriental do estado da Paraíba, distante cerca de 209 Km da cidade de João Pessoa, capital do Estado. De acordo com o IBGE (2020), a cidade possui população estimada de 18.298 habitantes e área territorial de </w:t>
      </w:r>
      <w:r w:rsidRPr="3C9FDEDB">
        <w:rPr>
          <w:rFonts w:ascii="Helvetica Neue" w:eastAsia="Helvetica Neue" w:hAnsi="Helvetica Neue" w:cs="Helvetica Neue"/>
          <w:color w:val="00000A"/>
          <w:sz w:val="18"/>
          <w:szCs w:val="18"/>
        </w:rPr>
        <w:t xml:space="preserve">474,606 Km², apresentando densidade demográfica de 38,55 habitantes por Km². As águas dos poços dessa área, geralmente, são consumidas sem qualquer avaliação dos parâmetros físico-químicas. Visando essa problemática, o presente trabalho tem como objetivo analisar a qualidade físico-química da água de um poço para verificar se a água atende aos padrões exigidos pela legislação vigente. </w:t>
      </w:r>
    </w:p>
    <w:p w14:paraId="3165982D" w14:textId="77777777" w:rsidR="003A693C" w:rsidRDefault="00F37ECD">
      <w:pPr>
        <w:keepNext/>
        <w:widowControl w:val="0"/>
        <w:numPr>
          <w:ilvl w:val="0"/>
          <w:numId w:val="2"/>
        </w:numPr>
        <w:spacing w:before="240" w:after="240"/>
        <w:ind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  <w:shd w:val="clear" w:color="auto" w:fill="FFFFFF"/>
        </w:rPr>
        <w:t>Materiais e Métodos</w:t>
      </w:r>
    </w:p>
    <w:p w14:paraId="751B0037" w14:textId="77777777" w:rsidR="003A693C" w:rsidRDefault="00F37ECD">
      <w:pPr>
        <w:keepNext/>
        <w:widowControl w:val="0"/>
        <w:spacing w:line="288" w:lineRule="auto"/>
        <w:ind w:left="141" w:right="141" w:firstLine="300"/>
        <w:jc w:val="both"/>
        <w:rPr>
          <w:rFonts w:hint="eastAsia"/>
        </w:rPr>
      </w:pPr>
      <w:r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As análises físico-químicas foram realizadas no Instituto Federal de Educação, Ciência e Tecnologia da Paraíba (IFPB), </w:t>
      </w:r>
      <w:r>
        <w:rPr>
          <w:rFonts w:ascii="Helvetica Neue" w:eastAsia="Helvetica Neue" w:hAnsi="Helvetica Neue" w:cs="Helvetica Neue"/>
          <w:i/>
          <w:iCs/>
          <w:color w:val="000000" w:themeColor="text1"/>
          <w:sz w:val="18"/>
          <w:szCs w:val="18"/>
        </w:rPr>
        <w:t>campus</w:t>
      </w:r>
      <w:r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Campina Grande. A coleta da amostra foi realizada no mês de fevereiro de 2020 e a amostra foi armazenada em garrafa de politereftalato de etileno (PET) transparente, com volume de dois litros. A localização geográfica do poço foi aferida com o GPS de navegação. </w:t>
      </w:r>
    </w:p>
    <w:p w14:paraId="2B69EB2F" w14:textId="51525516" w:rsidR="003A693C" w:rsidRDefault="00F37ECD" w:rsidP="08FF71CE">
      <w:pPr>
        <w:keepNext/>
        <w:widowControl w:val="0"/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 w:themeColor="text1"/>
          <w:sz w:val="18"/>
        </w:rPr>
      </w:pPr>
      <w:r w:rsidRPr="08FF71C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Após a coleta a amostra foi encaminhada para o Laboratório de Química Geral (LQG) do IFPB </w:t>
      </w:r>
      <w:r w:rsidRPr="08FF71CE">
        <w:rPr>
          <w:rFonts w:ascii="Helvetica Neue" w:eastAsia="Helvetica Neue" w:hAnsi="Helvetica Neue" w:cs="Helvetica Neue"/>
          <w:i/>
          <w:iCs/>
          <w:color w:val="000000" w:themeColor="text1"/>
          <w:sz w:val="18"/>
          <w:szCs w:val="18"/>
        </w:rPr>
        <w:t xml:space="preserve">campus </w:t>
      </w:r>
      <w:r w:rsidRPr="08FF71C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Campina Grande, onde as seguintes análises foram realizadas: pH, Condutividade Elétrica (µS/cm), Cinzas (%Cz a 25ºC), Sólidos Totais Dissolvidos, Dureza Total (mg/L), Dureza de Magnésio (mg/L), Dureza de Cálcio (mg/L), Cloreto (mg/L), Alcalinidade (mg/L) e Acidez Carbônica (mg/L). </w:t>
      </w:r>
    </w:p>
    <w:p w14:paraId="0F0C8D2A" w14:textId="77777777" w:rsidR="003A693C" w:rsidRDefault="00F37ECD">
      <w:pPr>
        <w:keepNext/>
        <w:widowControl w:val="0"/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shd w:val="clear" w:color="auto" w:fill="FFFFFF"/>
        </w:rPr>
      </w:pPr>
      <w:r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As análises dos parâmetros físico-químicos foram feitas seguindo as metodologias do manual de análises físico-químicas para alimentos do Instituto Adolfo Lutz (2008). Para verificar-se o estado de potabilidade da água os resultados obtidos foram avaliados conforme a portaria GM/MS nº 888 de 04 de maio de 2021 que dispõe sobre os procedimentos de controle e vigilância da água para consumo humano. </w:t>
      </w:r>
    </w:p>
    <w:p w14:paraId="447F1231" w14:textId="77777777" w:rsidR="003A693C" w:rsidRDefault="00F37ECD">
      <w:pPr>
        <w:keepNext/>
        <w:widowControl w:val="0"/>
        <w:numPr>
          <w:ilvl w:val="0"/>
          <w:numId w:val="2"/>
        </w:numPr>
        <w:spacing w:before="240" w:after="240"/>
        <w:ind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  <w:shd w:val="clear" w:color="auto" w:fill="FFFFFF"/>
        </w:rPr>
        <w:t>Resultados e Discussão</w:t>
      </w:r>
    </w:p>
    <w:p w14:paraId="6D49D3B4" w14:textId="7B4D4664" w:rsidR="003A693C" w:rsidRDefault="3C9FDEDB" w:rsidP="3C9FDEDB">
      <w:pPr>
        <w:widowControl w:val="0"/>
        <w:spacing w:line="259" w:lineRule="auto"/>
        <w:ind w:left="142" w:right="142" w:firstLine="308"/>
        <w:jc w:val="both"/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</w:pP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O potencial hidrogeniônico (pH) define a intensidade da acidez ou da basicidade da água. Quanto a esse parâmetro, a água pode ser consumida sem que cause nenhum dano à saúde humana, pois o valor obtido foi de 7,97, estando dentro do permitido pela legislação. O valor médio para o parâmetro de condutividade elétrica foi de 3.496 µS/cm, esse 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lastRenderedPageBreak/>
        <w:t xml:space="preserve">parâmetro depende da quantidade de sais dissolvidos na água. Os aquíferos da região do Seridó Paraibano, geralmente, recebem baixa recarga e as rochas da região contém muitos sais, contribuindo significativamente para o elevado índice de condutividade elétrica. Já no parâmetro de cinzas totais, o valor encontrado foi de 1,0084%Cz, esse parâmetro mostra a quantidade de resíduos inorgânicos a partir da combustão da matéria orgânica. </w:t>
      </w:r>
    </w:p>
    <w:p w14:paraId="19DCFCDB" w14:textId="3060BEFB" w:rsidR="003A693C" w:rsidRDefault="00F37ECD" w:rsidP="3C9FDEDB">
      <w:pPr>
        <w:widowControl w:val="0"/>
        <w:spacing w:line="259" w:lineRule="auto"/>
        <w:ind w:left="142" w:right="142" w:firstLine="270"/>
        <w:jc w:val="both"/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</w:pP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Segundo Dionizio et al. (2019) sólidos totais dissolvidos representam a quantidade de substâncias suspensas ou dissolvidas, sendo que essas matérias podem ter origem orgânica e inorgânica, assim, presentes em quantidades elevadas podem alterar as propriedades físicas e químicas da água. Nesse parâmetro, o valor obtido foi de 1.745 ppm, dessa forma, a água encontra-se fora dos níveis permitidos, pois a portaria GM/MS nº 888/21 indica que os valores devem ser menores ou iguais a 500 ppm. De acordo com a portaria GM/MS nº 888/21 que fala sobre a potabilidade das águas, o valor médio para o parâmetro de Dureza Total é menor ou igual a 300 mg/L de CaCO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vertAlign w:val="subscript"/>
          <w:lang w:val="pt-BR"/>
        </w:rPr>
        <w:t>3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, logo, as águas consumidas pela população estão em desacordo com o recomendado, pois apresentaram valor de 2.150 mg/L de CaCO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vertAlign w:val="subscript"/>
          <w:lang w:val="pt-BR"/>
        </w:rPr>
        <w:t xml:space="preserve">3, 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estando bem acima do permitido. Segundo Santos e Morh (2013), águas com elevada concentração de dureza podem ter sabor desagradável e de produzir efeitos laxativos. Nos parâmetros de Dureza de Cálcio e de Magnésio, a água apresentou valores de 690 mg/L e 1.460 mg/L respectivamente, demonstrando que a água possui maior concentração de magnésio. </w:t>
      </w:r>
    </w:p>
    <w:p w14:paraId="7C1EB1BC" w14:textId="50A38B94" w:rsidR="003A693C" w:rsidRDefault="3C9FDEDB" w:rsidP="3C9FDEDB">
      <w:pPr>
        <w:widowControl w:val="0"/>
        <w:spacing w:after="160" w:line="259" w:lineRule="auto"/>
        <w:ind w:left="142" w:right="142" w:firstLine="270"/>
        <w:jc w:val="both"/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A alcalinidade é a capacidade da água neutralizar uma substância ácida, nesse parâmetro o valor encontrado foi de 50 mg/L</w:t>
      </w:r>
      <w:r w:rsidRPr="3C9FDEDB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. Silva Filho </w:t>
      </w:r>
      <w:r w:rsidRPr="3C9FDEDB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et al.</w:t>
      </w:r>
      <w:r w:rsidRPr="3C9FDEDB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(2019) 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afirmam que a maioria das águas naturais apresentam valores de alcalinidade na faixa entre 30 e 500 mg/L. Sendo assim, a água analisada está dentro dessa faixa. A acidez carbônica caracteriza o teor de dióxido de carbono livre, sais de ácidos fortes e ácidos minerais, os quais por dissociação resultam em íons hidrogênio na solução (BANDEIRA </w:t>
      </w:r>
      <w:r w:rsidRPr="3C9FDEDB">
        <w:rPr>
          <w:rFonts w:ascii="Helvetica Neue" w:eastAsia="Helvetica Neue" w:hAnsi="Helvetica Neue" w:cs="Helvetica Neue"/>
          <w:i/>
          <w:iCs/>
          <w:color w:val="000000" w:themeColor="text1"/>
          <w:sz w:val="18"/>
          <w:szCs w:val="18"/>
          <w:lang w:val="pt-BR"/>
        </w:rPr>
        <w:t>et al.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, 2018). O valor encontrado para esse parâmetro foi de 17 mg/L, sendo condizente com a legislação. Com relação ao cloreto, a portaria GM/MS nº888 de 2021 estabelece valores menores ou iguais a 250 mg/L, todavia, a amostra apresentou o valor de 1.005, estando bem acima do preconizado. Os cloretos possuem relação direta com a condutividade elétrica, por isso, os dois parâmetros apresentaram valores bastante elevados. </w:t>
      </w:r>
    </w:p>
    <w:p w14:paraId="64B35EE3" w14:textId="68213D2F" w:rsidR="003A693C" w:rsidRDefault="3C9FDEDB" w:rsidP="3C9FDEDB">
      <w:pPr>
        <w:jc w:val="center"/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</w:pPr>
      <w:r w:rsidRPr="3C9FDEDB">
        <w:rPr>
          <w:rFonts w:ascii="Helvetica Neue" w:eastAsia="Helvetica Neue" w:hAnsi="Helvetica Neue" w:cs="Helvetica Neue"/>
          <w:b/>
          <w:bCs/>
          <w:color w:val="000000" w:themeColor="text1"/>
          <w:sz w:val="18"/>
          <w:szCs w:val="18"/>
          <w:lang w:val="pt-BR"/>
        </w:rPr>
        <w:t>Tabela 1.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 Valores médios das análises do poço tubular da cidade de Juazeirinho.</w:t>
      </w:r>
    </w:p>
    <w:tbl>
      <w:tblPr>
        <w:tblStyle w:val="Tabelacomgrade"/>
        <w:tblW w:w="6720" w:type="dxa"/>
        <w:jc w:val="center"/>
        <w:tblCellMar>
          <w:left w:w="113" w:type="dxa"/>
        </w:tblCellMar>
        <w:tblLook w:val="06A0" w:firstRow="1" w:lastRow="0" w:firstColumn="1" w:lastColumn="0" w:noHBand="1" w:noVBand="1"/>
      </w:tblPr>
      <w:tblGrid>
        <w:gridCol w:w="2250"/>
        <w:gridCol w:w="2280"/>
        <w:gridCol w:w="1201"/>
        <w:gridCol w:w="989"/>
      </w:tblGrid>
      <w:tr w:rsidR="003A693C" w14:paraId="2DF18FCF" w14:textId="77777777" w:rsidTr="3C9FDEDB">
        <w:trPr>
          <w:jc w:val="center"/>
        </w:trPr>
        <w:tc>
          <w:tcPr>
            <w:tcW w:w="224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</w:tcPr>
          <w:p w14:paraId="329A9AA7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color w:val="000000" w:themeColor="text1"/>
                <w:sz w:val="18"/>
                <w:szCs w:val="18"/>
                <w:lang w:val="pt-BR"/>
              </w:rPr>
              <w:t>Parâmetro</w:t>
            </w:r>
          </w:p>
        </w:tc>
        <w:tc>
          <w:tcPr>
            <w:tcW w:w="228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</w:tcPr>
          <w:p w14:paraId="3D14E43E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color w:val="000000" w:themeColor="text1"/>
                <w:sz w:val="18"/>
                <w:szCs w:val="18"/>
                <w:lang w:val="pt-BR"/>
              </w:rPr>
              <w:t>Unidade de Medida</w:t>
            </w:r>
          </w:p>
        </w:tc>
        <w:tc>
          <w:tcPr>
            <w:tcW w:w="1201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</w:tcPr>
          <w:p w14:paraId="2F0530C4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color w:val="000000" w:themeColor="text1"/>
                <w:sz w:val="18"/>
                <w:szCs w:val="18"/>
                <w:lang w:val="pt-BR"/>
              </w:rPr>
              <w:t>Ponto 1</w:t>
            </w:r>
          </w:p>
        </w:tc>
        <w:tc>
          <w:tcPr>
            <w:tcW w:w="98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</w:tcPr>
          <w:p w14:paraId="1FF7D780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color w:val="000000" w:themeColor="text1"/>
                <w:sz w:val="18"/>
                <w:szCs w:val="18"/>
                <w:lang w:val="pt-BR"/>
              </w:rPr>
              <w:t>V.M.P*</w:t>
            </w:r>
          </w:p>
        </w:tc>
      </w:tr>
      <w:tr w:rsidR="003A693C" w14:paraId="41F9598A" w14:textId="77777777" w:rsidTr="3C9FDEDB">
        <w:trPr>
          <w:trHeight w:val="300"/>
          <w:jc w:val="center"/>
        </w:trPr>
        <w:tc>
          <w:tcPr>
            <w:tcW w:w="2249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</w:tcPr>
          <w:p w14:paraId="24CC7139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pH</w:t>
            </w:r>
          </w:p>
        </w:tc>
        <w:tc>
          <w:tcPr>
            <w:tcW w:w="228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</w:tcPr>
          <w:p w14:paraId="6A09E912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</w:tcPr>
          <w:p w14:paraId="3B9C70DC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7,97</w:t>
            </w:r>
          </w:p>
        </w:tc>
        <w:tc>
          <w:tcPr>
            <w:tcW w:w="989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</w:tcPr>
          <w:p w14:paraId="208C690F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6,0-9,0</w:t>
            </w:r>
          </w:p>
        </w:tc>
      </w:tr>
      <w:tr w:rsidR="003A693C" w14:paraId="7116B00F" w14:textId="77777777" w:rsidTr="3C9FDEDB">
        <w:trPr>
          <w:trHeight w:val="33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99E6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Condutividade Elétrica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3CF3" w14:textId="16D4B7D7" w:rsidR="003A693C" w:rsidRDefault="08FF71CE" w:rsidP="08FF71CE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8FF71CE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µS/cm a 25°C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152F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3.497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7F75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*</w:t>
            </w:r>
          </w:p>
        </w:tc>
      </w:tr>
      <w:tr w:rsidR="003A693C" w14:paraId="6ED25D1E" w14:textId="77777777" w:rsidTr="3C9FDEDB">
        <w:trPr>
          <w:trHeight w:val="30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EB72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Cinzas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4F5D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%Cz a 25ºC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EF62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A"/>
                <w:sz w:val="18"/>
                <w:szCs w:val="18"/>
                <w:lang w:val="pt-BR"/>
              </w:rPr>
              <w:t>1,0084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40C2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*</w:t>
            </w:r>
          </w:p>
        </w:tc>
      </w:tr>
      <w:tr w:rsidR="003A693C" w14:paraId="16BAF2D4" w14:textId="77777777" w:rsidTr="3C9FDEDB">
        <w:trPr>
          <w:trHeight w:val="30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ED6D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STD**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05CE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ppm a 25ºC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A9AC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1.745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26EB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≤ 500</w:t>
            </w:r>
          </w:p>
        </w:tc>
      </w:tr>
      <w:tr w:rsidR="003A693C" w14:paraId="463ED383" w14:textId="77777777" w:rsidTr="3C9FDEDB">
        <w:trPr>
          <w:trHeight w:val="30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53CCF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Dureza Total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64D8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mg/L de CaCO</w:t>
            </w: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bscript"/>
                <w:lang w:val="pt-BR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56CD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2.150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E857A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≤ 300</w:t>
            </w:r>
          </w:p>
        </w:tc>
      </w:tr>
      <w:tr w:rsidR="003A693C" w14:paraId="6529189C" w14:textId="77777777" w:rsidTr="3C9FDEDB">
        <w:trPr>
          <w:trHeight w:val="30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13EE4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Dureza de Cálcio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213D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mg/L de CaCO</w:t>
            </w: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bscript"/>
                <w:lang w:val="pt-BR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B3C90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690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02CEA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*</w:t>
            </w:r>
          </w:p>
        </w:tc>
      </w:tr>
      <w:tr w:rsidR="003A693C" w14:paraId="733E507E" w14:textId="77777777" w:rsidTr="3C9FDEDB">
        <w:trPr>
          <w:trHeight w:val="30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524A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Dureza de Magnésio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B1AB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mg/L de CaCO</w:t>
            </w: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bscript"/>
                <w:lang w:val="pt-BR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C3BE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1.460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E7E89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*</w:t>
            </w:r>
          </w:p>
        </w:tc>
      </w:tr>
      <w:tr w:rsidR="003A693C" w14:paraId="3EA7DA1D" w14:textId="77777777" w:rsidTr="3C9FDEDB">
        <w:trPr>
          <w:trHeight w:val="30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85A8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Cloreto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D3275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mg/L de Cl</w:t>
            </w: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  <w:lang w:val="pt-BR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B9D4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1.005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DE6B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≤250</w:t>
            </w:r>
          </w:p>
        </w:tc>
      </w:tr>
      <w:tr w:rsidR="003A693C" w14:paraId="0B266EE9" w14:textId="77777777" w:rsidTr="3C9FDEDB">
        <w:trPr>
          <w:trHeight w:val="30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07E2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Alcalinidade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FF09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mg/L de CaCO</w:t>
            </w: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bscript"/>
                <w:lang w:val="pt-BR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1898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46C8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*</w:t>
            </w:r>
          </w:p>
        </w:tc>
      </w:tr>
      <w:tr w:rsidR="003A693C" w14:paraId="0A44F090" w14:textId="77777777" w:rsidTr="3C9FDEDB">
        <w:trPr>
          <w:jc w:val="center"/>
        </w:trPr>
        <w:tc>
          <w:tcPr>
            <w:tcW w:w="2249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auto"/>
          </w:tcPr>
          <w:p w14:paraId="7BFA606A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Acidez Carbônica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auto"/>
          </w:tcPr>
          <w:p w14:paraId="128677EE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mg/L de CaCO</w:t>
            </w: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bscript"/>
                <w:lang w:val="pt-BR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auto"/>
          </w:tcPr>
          <w:p w14:paraId="111B77A1" w14:textId="77777777" w:rsidR="003A693C" w:rsidRDefault="00F37ECD">
            <w:pPr>
              <w:ind w:left="567" w:hanging="567"/>
              <w:jc w:val="center"/>
              <w:rPr>
                <w:rFonts w:ascii="Helvetica Neue" w:eastAsia="Helvetica Neue" w:hAnsi="Helvetica Neue" w:cs="Helvetica Neu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auto"/>
          </w:tcPr>
          <w:p w14:paraId="60163D2E" w14:textId="77777777" w:rsidR="003A693C" w:rsidRDefault="00F37ECD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lang w:val="pt-BR"/>
              </w:rPr>
              <w:t>≥10</w:t>
            </w:r>
          </w:p>
        </w:tc>
      </w:tr>
    </w:tbl>
    <w:p w14:paraId="2A4B123E" w14:textId="77777777" w:rsidR="003A693C" w:rsidRDefault="00F37ECD">
      <w:pPr>
        <w:ind w:left="1530"/>
        <w:rPr>
          <w:rFonts w:ascii="Helvetica Neue" w:eastAsia="Helvetica Neue" w:hAnsi="Helvetica Neue" w:cs="Helvetica Neue"/>
          <w:i/>
          <w:iCs/>
          <w:color w:val="000000" w:themeColor="text1"/>
          <w:sz w:val="16"/>
          <w:szCs w:val="16"/>
          <w:lang w:val="pt-BR"/>
        </w:rPr>
      </w:pPr>
      <w:r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*V.M.P = Valor Máximo Permitido</w:t>
      </w:r>
    </w:p>
    <w:p w14:paraId="7A075F34" w14:textId="77777777" w:rsidR="003A693C" w:rsidRDefault="00F37ECD">
      <w:pPr>
        <w:ind w:left="1530"/>
        <w:rPr>
          <w:rFonts w:ascii="Helvetica Neue" w:eastAsia="Helvetica Neue" w:hAnsi="Helvetica Neue" w:cs="Helvetica Neue"/>
          <w:i/>
          <w:iCs/>
          <w:color w:val="000000" w:themeColor="text1"/>
          <w:sz w:val="16"/>
          <w:szCs w:val="16"/>
          <w:lang w:val="pt-BR"/>
        </w:rPr>
      </w:pPr>
      <w:r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**STD = Sólidos Totais Dissolvidos</w:t>
      </w:r>
    </w:p>
    <w:p w14:paraId="0A37501D" w14:textId="77777777" w:rsidR="003A693C" w:rsidRDefault="003A693C">
      <w:pPr>
        <w:spacing w:after="160" w:line="259" w:lineRule="auto"/>
        <w:ind w:firstLine="300"/>
        <w:jc w:val="center"/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</w:pPr>
    </w:p>
    <w:p w14:paraId="10AFEEC5" w14:textId="77777777" w:rsidR="003A693C" w:rsidRDefault="00F37ECD">
      <w:pPr>
        <w:widowControl w:val="0"/>
        <w:numPr>
          <w:ilvl w:val="0"/>
          <w:numId w:val="1"/>
        </w:numPr>
        <w:spacing w:before="240" w:after="240"/>
        <w:ind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5C27DA1D" w14:textId="77777777" w:rsidR="003A693C" w:rsidRDefault="3C9FDEDB">
      <w:pPr>
        <w:widowControl w:val="0"/>
        <w:spacing w:line="288" w:lineRule="auto"/>
        <w:ind w:left="141" w:right="141" w:firstLine="300"/>
        <w:jc w:val="both"/>
        <w:rPr>
          <w:rFonts w:hint="eastAsia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Ao final da avaliação dos parâmetros, observa-se que a água do poço localizado na cidade de Juazeirinho – PB não pode ser consumida pela população local. Pois os parâmetros de Sólidos Totais Dissolvidos, Dureza Total e Cloreto não atenderam os valores recomendados pela portaria GM/MS nº888/21. O elevado teor de Sólidos Totais Dissolvidos e de Cloreto pode ser resultado do tempo de residência desta água nas rochas. Sendo assim, é necessário que sejam implantados métodos eficazes que visem tornar essa água própria para o consumo humano, como a instalação de dessalinizadores e filtros de carvão ativado. </w:t>
      </w:r>
    </w:p>
    <w:p w14:paraId="2274084C" w14:textId="0EA90AA5" w:rsidR="3C9FDEDB" w:rsidRDefault="3C9FDEDB" w:rsidP="3C9FDEDB">
      <w:pPr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bCs/>
          <w:sz w:val="18"/>
          <w:szCs w:val="18"/>
        </w:rPr>
      </w:pPr>
    </w:p>
    <w:p w14:paraId="156EF3BF" w14:textId="77777777" w:rsidR="003A693C" w:rsidRDefault="00F37ECD">
      <w:pPr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ascii="Helvetica Neue" w:eastAsia="Helvetica Neue" w:hAnsi="Helvetica Neue" w:cs="Helvetica Neue"/>
          <w:b/>
          <w:bCs/>
          <w:sz w:val="18"/>
          <w:szCs w:val="18"/>
        </w:rPr>
        <w:t>Agradecimentos</w:t>
      </w:r>
    </w:p>
    <w:p w14:paraId="355277D5" w14:textId="77777777" w:rsidR="003A693C" w:rsidRDefault="3C9FDEDB">
      <w:pP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t>Ao Instituto Federal de Educação, Ciência e Tecnologia da Paraíba - IFPB, campus Campina Grande, por apoiar e incentivar o desenvolvimento do presente trabalho e das atividades de pesquisa científica.</w:t>
      </w:r>
    </w:p>
    <w:p w14:paraId="6B4D246B" w14:textId="791EDBF2" w:rsidR="3C9FDEDB" w:rsidRDefault="3C9FDEDB" w:rsidP="3C9FDEDB">
      <w:pPr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bCs/>
          <w:sz w:val="18"/>
          <w:szCs w:val="18"/>
        </w:rPr>
      </w:pPr>
    </w:p>
    <w:p w14:paraId="1A8A572A" w14:textId="77777777" w:rsidR="003A693C" w:rsidRDefault="00F37ECD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ascii="Helvetica Neue" w:eastAsia="Helvetica Neue" w:hAnsi="Helvetica Neue" w:cs="Helvetica Neue"/>
          <w:b/>
          <w:bCs/>
          <w:sz w:val="18"/>
          <w:szCs w:val="18"/>
        </w:rPr>
        <w:t>Referências</w:t>
      </w:r>
    </w:p>
    <w:p w14:paraId="1BB7C269" w14:textId="77777777" w:rsidR="003A693C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BANDEIRA, P. L. </w:t>
      </w:r>
      <w:r w:rsidRPr="3C9FDEDB">
        <w:rPr>
          <w:rFonts w:ascii="Helvetica Neue" w:eastAsia="Helvetica Neue" w:hAnsi="Helvetica Neue" w:cs="Helvetica Neue"/>
          <w:i/>
          <w:iCs/>
          <w:sz w:val="18"/>
          <w:szCs w:val="18"/>
        </w:rPr>
        <w:t>et al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. Análise físico-química de água de um poço tubular antes e após a passagem da água pelo uso de um filtro natural feito com casca de arroz vermelho. In: 6º SIMPÓSIO DE SEGURANÇA ALIMENTAR, 6., 2018, Gramado. Anais [...]. Gramado: FAURGS, 2018.  </w:t>
      </w:r>
    </w:p>
    <w:p w14:paraId="68F0B440" w14:textId="77777777" w:rsidR="003A693C" w:rsidRDefault="00F37ECD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BRASIL. Portaria GM/MS nº888 de 04 de maio de 2021 do Ministério da Saúde. D</w:t>
      </w: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ispõe sobre os procedimentos de controle e vigilância da água para consumo humano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57CA2F51" w14:textId="6CDDA48C" w:rsidR="08FF71CE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DIONIZIO, P. Q., </w:t>
      </w:r>
      <w:r w:rsidRPr="3C9FDEDB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et al. 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>Caracterização físico-química da água de um poço tubular localizado no município de Soledade-PB. Anais I CONIMAS e III CONIDIS... Campina Grande: Realize Editora, 2019.</w:t>
      </w:r>
    </w:p>
    <w:p w14:paraId="0E6F44B7" w14:textId="77777777" w:rsidR="003A693C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EE4ACA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ECKHARDT, R. R., </w:t>
      </w:r>
      <w:r w:rsidRPr="00EE4ACA">
        <w:rPr>
          <w:rFonts w:ascii="Helvetica Neue" w:eastAsia="Helvetica Neue" w:hAnsi="Helvetica Neue" w:cs="Helvetica Neue"/>
          <w:i/>
          <w:iCs/>
          <w:sz w:val="18"/>
          <w:szCs w:val="18"/>
          <w:lang w:val="en-US"/>
        </w:rPr>
        <w:t>et al</w:t>
      </w:r>
      <w:r w:rsidRPr="00EE4ACA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. 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Mapeamento e avaliação da potabilidade da água subterrânea do município de Lajeado, RS, Brasil. Meio Ambiente &amp; Água - Revista Interdisciplinar de Ciência Aplicada [en linea]. 2009, 4(1), 58-80. Disponível em: &lt;https://www.redalyc.org/articulo.oa?id=92811713006&gt;. Acesso em: 05 ago. 2021.  </w:t>
      </w:r>
    </w:p>
    <w:p w14:paraId="412B0490" w14:textId="77777777" w:rsidR="003A693C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IBGE. Características Gerais da População. Resultados da Amostra. IBGE, 2020. Disponível em: &lt;https://cidades.ibge.gov.br/&gt;. Acesso em: 05 ago. 2021.  </w:t>
      </w:r>
    </w:p>
    <w:p w14:paraId="33635508" w14:textId="47AEB2DB" w:rsidR="003A693C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INSTITUTO ADOLFO LUTZ. MÉTODOS FÍSICO-QUÍMICOS PARA ANÁLISES DE ALIMENTOS. 4ª ed. São Paulo: Versão digital, 1000 p. 2008.</w:t>
      </w:r>
    </w:p>
    <w:p w14:paraId="10A3ECF3" w14:textId="0A1BEE50" w:rsidR="003A693C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MANASSÉS, F. Caracterização hidroquímica da água subterrânea da formação Serra Geral na região Sudoeste do Estado do Paraná. 2009. 136 f. Dissertação (Mestrado em Geologia Ambiental), Universidade Federal do Paraná, Curitiba, 2009. </w:t>
      </w:r>
    </w:p>
    <w:p w14:paraId="3899FF28" w14:textId="3D2B33FE" w:rsidR="003A693C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OLIVEIRA, H. B. L., </w:t>
      </w:r>
      <w:r w:rsidRPr="3C9FDEDB">
        <w:rPr>
          <w:rFonts w:ascii="Helvetica Neue" w:eastAsia="Helvetica Neue" w:hAnsi="Helvetica Neue" w:cs="Helvetica Neue"/>
          <w:i/>
          <w:iCs/>
          <w:sz w:val="18"/>
          <w:szCs w:val="18"/>
        </w:rPr>
        <w:t>et al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>. Análise comparativa dos parâmetros de qualidade de águas subterrâneas provenientes de poços tubulares das microrregiões do Curimataú e Cariri Paraibano.</w:t>
      </w:r>
      <w:r w:rsidRPr="3C9FDEDB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 Águas Subterrâneas, In: 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XX Congresso Brasileiro de Águas Subterrâneas, 2019. Disponível em: &lt;https://aguassubterraneas.abas.org/asubterraneas/article/view/29444&gt;. Acesso em: 6 ago. 2021. </w:t>
      </w:r>
    </w:p>
    <w:p w14:paraId="03241092" w14:textId="77777777" w:rsidR="003A693C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t>SANTOS, R. S.; MORH, T. SAÚDE E QUALIDADE DA ÁGUA: Análises Microbiológicas e Físico-Químicas em Águas Subterrâneas. REVISTA CONTEXTO &amp; SAÚDE. IJUÍ., v. 13, n.24/25, jan/jun. 2013 – jul/dez. 2013. P. 46-53.</w:t>
      </w:r>
    </w:p>
    <w:p w14:paraId="6DE5B705" w14:textId="77777777" w:rsidR="003A693C" w:rsidRDefault="3C9FDEDB" w:rsidP="3C9FDEDB">
      <w:pPr>
        <w:spacing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SILVA FILHO, E. D., </w:t>
      </w:r>
      <w:r w:rsidRPr="3C9FDEDB">
        <w:rPr>
          <w:rFonts w:ascii="Helvetica Neue" w:eastAsia="Helvetica Neue" w:hAnsi="Helvetica Neue" w:cs="Helvetica Neue"/>
          <w:i/>
          <w:iCs/>
          <w:sz w:val="18"/>
          <w:szCs w:val="18"/>
        </w:rPr>
        <w:t>et al</w:t>
      </w:r>
      <w:r w:rsidRPr="3C9FDEDB">
        <w:rPr>
          <w:rFonts w:ascii="Helvetica Neue" w:eastAsia="Helvetica Neue" w:hAnsi="Helvetica Neue" w:cs="Helvetica Neue"/>
          <w:sz w:val="18"/>
          <w:szCs w:val="18"/>
        </w:rPr>
        <w:t xml:space="preserve">. Estudo da qualidade físico-química e microbiológica da água de poço tubular situado no sítio alegre no município de Lagoa Seca-PB. Águas Subterrâneas - Seção Estudos de Caso e Notas Técnicas, 2019.  </w:t>
      </w:r>
    </w:p>
    <w:p w14:paraId="5DAB6C7B" w14:textId="77777777" w:rsidR="003A693C" w:rsidRDefault="003A693C" w:rsidP="3C9FDEDB">
      <w:pPr>
        <w:spacing w:line="288" w:lineRule="auto"/>
        <w:ind w:left="141" w:right="141"/>
        <w:rPr>
          <w:rFonts w:hint="eastAsia"/>
        </w:rPr>
      </w:pPr>
    </w:p>
    <w:sectPr w:rsidR="003A693C">
      <w:headerReference w:type="default" r:id="rId7"/>
      <w:footerReference w:type="default" r:id="rId8"/>
      <w:pgSz w:w="11920" w:h="16838"/>
      <w:pgMar w:top="1620" w:right="1020" w:bottom="880" w:left="1020" w:header="119" w:footer="283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5B68" w14:textId="77777777" w:rsidR="00B501F6" w:rsidRDefault="00B501F6">
      <w:pPr>
        <w:rPr>
          <w:rFonts w:hint="eastAsia"/>
        </w:rPr>
      </w:pPr>
      <w:r>
        <w:separator/>
      </w:r>
    </w:p>
  </w:endnote>
  <w:endnote w:type="continuationSeparator" w:id="0">
    <w:p w14:paraId="5DC1E5CC" w14:textId="77777777" w:rsidR="00B501F6" w:rsidRDefault="00B501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3A693C" w:rsidRDefault="003A693C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5A39BBE3" w14:textId="77777777" w:rsidR="003A693C" w:rsidRDefault="00F37ECD">
    <w:pPr>
      <w:keepNext/>
      <w:widowControl w:val="0"/>
      <w:spacing w:line="12" w:lineRule="auto"/>
      <w:rPr>
        <w:rFonts w:ascii="Helvetica Neue" w:eastAsia="Helvetica Neue" w:hAnsi="Helvetica Neue" w:cs="Helvetica Neue"/>
        <w:color w:val="000000"/>
        <w:sz w:val="19"/>
        <w:szCs w:val="19"/>
        <w:shd w:val="clear" w:color="auto" w:fill="FFFFFF"/>
      </w:rPr>
    </w:pPr>
    <w:r>
      <w:rPr>
        <w:noProof/>
      </w:rPr>
      <w:drawing>
        <wp:inline distT="114300" distB="114300" distL="114300" distR="114300" wp14:anchorId="1B13ADF5" wp14:editId="07777777">
          <wp:extent cx="7481570" cy="626745"/>
          <wp:effectExtent l="0" t="0" r="0" b="0"/>
          <wp:docPr id="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6" t="-70590" r="-9906"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DA89" w14:textId="77777777" w:rsidR="00B501F6" w:rsidRDefault="00B501F6">
      <w:pPr>
        <w:rPr>
          <w:rFonts w:hint="eastAsia"/>
        </w:rPr>
      </w:pPr>
      <w:r>
        <w:separator/>
      </w:r>
    </w:p>
  </w:footnote>
  <w:footnote w:type="continuationSeparator" w:id="0">
    <w:p w14:paraId="4D2E7245" w14:textId="77777777" w:rsidR="00B501F6" w:rsidRDefault="00B501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3A693C" w:rsidRDefault="00F37ECD" w:rsidP="00D52827">
    <w:pPr>
      <w:keepNext/>
      <w:widowControl w:val="0"/>
      <w:spacing w:line="12" w:lineRule="auto"/>
      <w:ind w:left="-993"/>
      <w:rPr>
        <w:rFonts w:ascii="Helvetica Neue" w:eastAsia="Helvetica Neue" w:hAnsi="Helvetica Neue" w:cs="Helvetica Neue"/>
        <w:color w:val="000000"/>
        <w:sz w:val="19"/>
        <w:shd w:val="clear" w:color="auto" w:fill="FFFFFF"/>
      </w:rPr>
    </w:pPr>
    <w:r>
      <w:rPr>
        <w:noProof/>
      </w:rPr>
      <w:drawing>
        <wp:inline distT="114300" distB="114300" distL="114300" distR="114300" wp14:anchorId="24EEAB54" wp14:editId="07777777">
          <wp:extent cx="7548245" cy="810895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" r="16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F9D"/>
    <w:multiLevelType w:val="multilevel"/>
    <w:tmpl w:val="532AEB9A"/>
    <w:lvl w:ilvl="0">
      <w:start w:val="1"/>
      <w:numFmt w:val="decimal"/>
      <w:lvlText w:val="%1"/>
      <w:lvlJc w:val="left"/>
      <w:pPr>
        <w:ind w:left="408" w:hanging="296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</w:abstractNum>
  <w:abstractNum w:abstractNumId="1" w15:restartNumberingAfterBreak="0">
    <w:nsid w:val="78F05D5C"/>
    <w:multiLevelType w:val="multilevel"/>
    <w:tmpl w:val="B7C6A3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7614D3"/>
    <w:multiLevelType w:val="multilevel"/>
    <w:tmpl w:val="4A9E277E"/>
    <w:lvl w:ilvl="0">
      <w:start w:val="4"/>
      <w:numFmt w:val="decimal"/>
      <w:lvlText w:val="%1."/>
      <w:lvlJc w:val="left"/>
      <w:pPr>
        <w:ind w:left="408" w:hanging="296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b/>
        <w:i w:val="0"/>
        <w:caps w:val="0"/>
        <w:smallCaps w:val="0"/>
        <w:strike w:val="0"/>
        <w:dstrike w:val="0"/>
        <w:position w:val="0"/>
        <w:sz w:val="18"/>
        <w:shd w:val="clear" w:color="auto" w:fill="FFFFFF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F71CE"/>
    <w:rsid w:val="00097C00"/>
    <w:rsid w:val="003A693C"/>
    <w:rsid w:val="005F4A43"/>
    <w:rsid w:val="00955F43"/>
    <w:rsid w:val="00A92323"/>
    <w:rsid w:val="00B501F6"/>
    <w:rsid w:val="00D52827"/>
    <w:rsid w:val="00EE4ACA"/>
    <w:rsid w:val="00F37ECD"/>
    <w:rsid w:val="08FF71CE"/>
    <w:rsid w:val="3C9F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D7CE51"/>
  <w15:docId w15:val="{C4078226-683A-4FD1-90A7-7F6203D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Helvetica Neue" w:eastAsia="Arial" w:hAnsi="Helvetica Neue" w:cs="Arial"/>
      <w:b/>
      <w:i w:val="0"/>
      <w:caps w:val="0"/>
      <w:smallCaps w:val="0"/>
      <w:strike w:val="0"/>
      <w:dstrike w:val="0"/>
      <w:position w:val="0"/>
      <w:sz w:val="18"/>
      <w:shd w:val="clear" w:color="auto" w:fill="FFFFFF"/>
      <w:vertAlign w:val="baselin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Notaderodap">
    <w:name w:val="Nota de rodapé"/>
    <w:basedOn w:val="Normal"/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9232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1667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 Oliveira</dc:creator>
  <cp:lastModifiedBy>Josenildo Hoje</cp:lastModifiedBy>
  <cp:revision>22</cp:revision>
  <dcterms:created xsi:type="dcterms:W3CDTF">2021-09-15T00:44:00Z</dcterms:created>
  <dcterms:modified xsi:type="dcterms:W3CDTF">2021-10-06T20:27:00Z</dcterms:modified>
  <dc:language>pt-BR</dc:language>
</cp:coreProperties>
</file>