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0A11" w14:textId="5CB61261" w:rsidR="00843306" w:rsidRPr="0040505A" w:rsidRDefault="0040505A" w:rsidP="00B44B44">
      <w:pPr>
        <w:ind w:left="2" w:hanging="2"/>
        <w:jc w:val="center"/>
        <w:rPr>
          <w:rFonts w:ascii="Helvetica Neue" w:eastAsia="Helvetica Neue" w:hAnsi="Helvetica Neue" w:cs="Helvetica Neue"/>
          <w:b/>
          <w:bCs/>
          <w:color w:val="000000"/>
          <w:sz w:val="18"/>
          <w:szCs w:val="18"/>
          <w:lang w:val="pt-BR"/>
        </w:rPr>
      </w:pPr>
      <w:r w:rsidRPr="0040505A">
        <w:rPr>
          <w:rFonts w:ascii="Helvetica Neue" w:eastAsia="Helvetica Neue" w:hAnsi="Helvetica Neue" w:cs="Helvetica Neue"/>
          <w:b/>
          <w:bCs/>
          <w:color w:val="000000"/>
          <w:sz w:val="18"/>
          <w:szCs w:val="18"/>
          <w:lang w:val="pt-BR"/>
        </w:rPr>
        <w:t>POLOS GERADORES DE VIAGENS: PAD</w:t>
      </w:r>
      <w:r>
        <w:rPr>
          <w:rFonts w:ascii="Helvetica Neue" w:eastAsia="Helvetica Neue" w:hAnsi="Helvetica Neue" w:cs="Helvetica Neue"/>
          <w:b/>
          <w:bCs/>
          <w:color w:val="000000"/>
          <w:sz w:val="18"/>
          <w:szCs w:val="18"/>
          <w:lang w:val="pt-BR"/>
        </w:rPr>
        <w:t>RÕES</w:t>
      </w:r>
      <w:r w:rsidRPr="0040505A">
        <w:rPr>
          <w:rFonts w:ascii="Helvetica Neue" w:eastAsia="Helvetica Neue" w:hAnsi="Helvetica Neue" w:cs="Helvetica Neue"/>
          <w:b/>
          <w:bCs/>
          <w:color w:val="000000"/>
          <w:sz w:val="18"/>
          <w:szCs w:val="18"/>
          <w:lang w:val="pt-BR"/>
        </w:rPr>
        <w:t xml:space="preserve"> DE VIAGENS CARACTERIZADAS PEL</w:t>
      </w:r>
      <w:r>
        <w:rPr>
          <w:rFonts w:ascii="Helvetica Neue" w:eastAsia="Helvetica Neue" w:hAnsi="Helvetica Neue" w:cs="Helvetica Neue"/>
          <w:b/>
          <w:bCs/>
          <w:color w:val="000000"/>
          <w:sz w:val="18"/>
          <w:szCs w:val="18"/>
          <w:lang w:val="pt-BR"/>
        </w:rPr>
        <w:t>A</w:t>
      </w:r>
      <w:r w:rsidRPr="0040505A">
        <w:rPr>
          <w:rFonts w:ascii="Helvetica Neue" w:eastAsia="Helvetica Neue" w:hAnsi="Helvetica Neue" w:cs="Helvetica Neue"/>
          <w:b/>
          <w:bCs/>
          <w:color w:val="000000"/>
          <w:sz w:val="18"/>
          <w:szCs w:val="18"/>
          <w:lang w:val="pt-BR"/>
        </w:rPr>
        <w:t>S INSTITU</w:t>
      </w:r>
      <w:r>
        <w:rPr>
          <w:rFonts w:ascii="Helvetica Neue" w:eastAsia="Helvetica Neue" w:hAnsi="Helvetica Neue" w:cs="Helvetica Neue"/>
          <w:b/>
          <w:bCs/>
          <w:color w:val="000000"/>
          <w:sz w:val="18"/>
          <w:szCs w:val="18"/>
          <w:lang w:val="pt-BR"/>
        </w:rPr>
        <w:t>IÇÕES</w:t>
      </w:r>
      <w:r w:rsidRPr="0040505A">
        <w:rPr>
          <w:rFonts w:ascii="Helvetica Neue" w:eastAsia="Helvetica Neue" w:hAnsi="Helvetica Neue" w:cs="Helvetica Neue"/>
          <w:b/>
          <w:bCs/>
          <w:color w:val="000000"/>
          <w:sz w:val="18"/>
          <w:szCs w:val="18"/>
          <w:lang w:val="pt-BR"/>
        </w:rPr>
        <w:t xml:space="preserve"> DE ENSINO SUPERIOR DE CAJAZEIRAS - PARAÍBA </w:t>
      </w:r>
    </w:p>
    <w:p w14:paraId="4ACD0072" w14:textId="77777777" w:rsidR="00843306" w:rsidRDefault="00843306" w:rsidP="00B44B44">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14:paraId="4EA91CBD" w14:textId="77777777" w:rsidR="00B44B44" w:rsidRDefault="00B44B44" w:rsidP="00B44B44">
      <w:pPr>
        <w:widowControl w:val="0"/>
        <w:spacing w:before="100" w:after="100"/>
        <w:ind w:left="141" w:right="141"/>
        <w:jc w:val="center"/>
        <w:rPr>
          <w:rFonts w:ascii="Helvetica Neue" w:eastAsia="Helvetica Neue" w:hAnsi="Helvetica Neue" w:cs="Helvetica Neue"/>
          <w:b/>
          <w:color w:val="FF0000"/>
          <w:sz w:val="18"/>
          <w:szCs w:val="18"/>
        </w:rPr>
      </w:pPr>
      <w:r>
        <w:rPr>
          <w:rFonts w:ascii="Helvetica Neue" w:eastAsia="Helvetica Neue" w:hAnsi="Helvetica Neue" w:cs="Helvetica Neue"/>
          <w:color w:val="000000"/>
          <w:sz w:val="18"/>
          <w:szCs w:val="18"/>
        </w:rPr>
        <w:t>JONAS F. RODRIGUES (IFPB, Campus Cajazeiras), ANA CLARA L COELHO (IFPB, Campus Cajazeiras), IZADORA V COELHO (IFPB, Campus Cajazeiras), VITÓRIA M DE SÁ OLIVEIRA (IFPB, Campus Cajazeiras)</w:t>
      </w:r>
    </w:p>
    <w:p w14:paraId="48C04C96" w14:textId="77777777" w:rsidR="00B44B44" w:rsidRDefault="00B44B44" w:rsidP="00B44B44">
      <w:pPr>
        <w:widowControl w:val="0"/>
        <w:spacing w:before="100" w:after="100"/>
        <w:ind w:left="141" w:right="141"/>
        <w:rPr>
          <w:rFonts w:ascii="Helvetica Neue" w:eastAsia="Helvetica Neue" w:hAnsi="Helvetica Neue" w:cs="Helvetica Neue"/>
          <w:color w:val="000000"/>
          <w:sz w:val="18"/>
          <w:szCs w:val="18"/>
        </w:rPr>
      </w:pPr>
    </w:p>
    <w:p w14:paraId="1446ECBD" w14:textId="3FDD433A" w:rsidR="00B44B44" w:rsidRDefault="00B44B44" w:rsidP="00B44B44">
      <w:pPr>
        <w:widowControl w:val="0"/>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sidRPr="00B44B44">
        <w:rPr>
          <w:rFonts w:ascii="Helvetica Neue" w:eastAsia="Helvetica Neue" w:hAnsi="Helvetica Neue" w:cs="Helvetica Neue"/>
          <w:sz w:val="16"/>
          <w:szCs w:val="16"/>
        </w:rPr>
        <w:t xml:space="preserve">jonas.rodrigues@academico.ifpb.edu.br, </w:t>
      </w:r>
      <w:r>
        <w:rPr>
          <w:rFonts w:ascii="Helvetica Neue" w:eastAsia="Helvetica Neue" w:hAnsi="Helvetica Neue" w:cs="Helvetica Neue"/>
          <w:color w:val="000000"/>
          <w:sz w:val="16"/>
          <w:szCs w:val="16"/>
        </w:rPr>
        <w:t>clara.coelho@academico.ifpb.edu.br, izadora.vidal@academico.ifpb.edu.br, vitoria.sa@academico.ifpb.edu.br.</w:t>
      </w:r>
    </w:p>
    <w:p w14:paraId="7FF4C4C1" w14:textId="77777777" w:rsidR="00B44B44" w:rsidRDefault="00B44B44" w:rsidP="00B44B44">
      <w:pPr>
        <w:widowControl w:val="0"/>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3.01.01.00-0 Construção Civil.</w:t>
      </w:r>
    </w:p>
    <w:p w14:paraId="6C2D25DC" w14:textId="77777777" w:rsidR="00B44B44" w:rsidRDefault="00B44B44" w:rsidP="00B44B44">
      <w:pPr>
        <w:widowControl w:val="0"/>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transporte; migração estudantil; sistema viário.</w:t>
      </w:r>
    </w:p>
    <w:p w14:paraId="78A1DF32" w14:textId="77777777" w:rsidR="00843306" w:rsidRDefault="00843306">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74FC7DC4" w14:textId="77777777" w:rsidR="00843306" w:rsidRDefault="00D35C45">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1571CB1B" w14:textId="22960FE1" w:rsidR="007570C8" w:rsidRPr="007570C8" w:rsidRDefault="00F5721A"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Pr>
          <w:rFonts w:ascii="Helvetica Neue" w:eastAsia="Helvetica Neue" w:hAnsi="Helvetica Neue" w:cs="Helvetica Neue"/>
          <w:color w:val="000000"/>
          <w:sz w:val="18"/>
          <w:szCs w:val="18"/>
          <w:lang w:val="pt-BR"/>
        </w:rPr>
        <w:t>D</w:t>
      </w:r>
      <w:r w:rsidR="007570C8" w:rsidRPr="007570C8">
        <w:rPr>
          <w:rFonts w:ascii="Helvetica Neue" w:eastAsia="Helvetica Neue" w:hAnsi="Helvetica Neue" w:cs="Helvetica Neue"/>
          <w:color w:val="000000"/>
          <w:sz w:val="18"/>
          <w:szCs w:val="18"/>
          <w:lang w:val="pt-BR"/>
        </w:rPr>
        <w:t>ecorr</w:t>
      </w:r>
      <w:r>
        <w:rPr>
          <w:rFonts w:ascii="Helvetica Neue" w:eastAsia="Helvetica Neue" w:hAnsi="Helvetica Neue" w:cs="Helvetica Neue"/>
          <w:color w:val="000000"/>
          <w:sz w:val="18"/>
          <w:szCs w:val="18"/>
          <w:lang w:val="pt-BR"/>
        </w:rPr>
        <w:t>ente</w:t>
      </w:r>
      <w:r w:rsidR="007570C8" w:rsidRPr="007570C8">
        <w:rPr>
          <w:rFonts w:ascii="Helvetica Neue" w:eastAsia="Helvetica Neue" w:hAnsi="Helvetica Neue" w:cs="Helvetica Neue"/>
          <w:color w:val="000000"/>
          <w:sz w:val="18"/>
          <w:szCs w:val="18"/>
          <w:lang w:val="pt-BR"/>
        </w:rPr>
        <w:t xml:space="preserve"> dos avanços econômicos e políticos no Brasil, o número de instituições de ensino superior </w:t>
      </w:r>
      <w:r w:rsidR="005A087F" w:rsidRPr="007570C8">
        <w:rPr>
          <w:rFonts w:ascii="Helvetica Neue" w:eastAsia="Helvetica Neue" w:hAnsi="Helvetica Neue" w:cs="Helvetica Neue"/>
          <w:color w:val="000000"/>
          <w:sz w:val="18"/>
          <w:szCs w:val="18"/>
          <w:lang w:val="pt-BR"/>
        </w:rPr>
        <w:t xml:space="preserve">(IES) </w:t>
      </w:r>
      <w:r w:rsidR="007570C8" w:rsidRPr="007570C8">
        <w:rPr>
          <w:rFonts w:ascii="Helvetica Neue" w:eastAsia="Helvetica Neue" w:hAnsi="Helvetica Neue" w:cs="Helvetica Neue"/>
          <w:color w:val="000000"/>
          <w:sz w:val="18"/>
          <w:szCs w:val="18"/>
          <w:lang w:val="pt-BR"/>
        </w:rPr>
        <w:t>teve um crescimento</w:t>
      </w:r>
      <w:r>
        <w:rPr>
          <w:rFonts w:ascii="Helvetica Neue" w:eastAsia="Helvetica Neue" w:hAnsi="Helvetica Neue" w:cs="Helvetica Neue"/>
          <w:color w:val="000000"/>
          <w:sz w:val="18"/>
          <w:szCs w:val="18"/>
          <w:lang w:val="pt-BR"/>
        </w:rPr>
        <w:t xml:space="preserve"> </w:t>
      </w:r>
      <w:r w:rsidR="007570C8" w:rsidRPr="007570C8">
        <w:rPr>
          <w:rFonts w:ascii="Helvetica Neue" w:eastAsia="Helvetica Neue" w:hAnsi="Helvetica Neue" w:cs="Helvetica Neue"/>
          <w:color w:val="000000"/>
          <w:sz w:val="18"/>
          <w:szCs w:val="18"/>
          <w:lang w:val="pt-BR"/>
        </w:rPr>
        <w:t>nos últimos anos.</w:t>
      </w:r>
      <w:r w:rsidR="00DE0047">
        <w:rPr>
          <w:rFonts w:ascii="Helvetica Neue" w:eastAsia="Helvetica Neue" w:hAnsi="Helvetica Neue" w:cs="Helvetica Neue"/>
          <w:color w:val="000000"/>
          <w:sz w:val="18"/>
          <w:szCs w:val="18"/>
          <w:lang w:val="pt-BR"/>
        </w:rPr>
        <w:t xml:space="preserve"> D</w:t>
      </w:r>
      <w:r w:rsidR="00E20052">
        <w:rPr>
          <w:rFonts w:ascii="Helvetica Neue" w:eastAsia="Helvetica Neue" w:hAnsi="Helvetica Neue" w:cs="Helvetica Neue"/>
          <w:color w:val="000000"/>
          <w:sz w:val="18"/>
          <w:szCs w:val="18"/>
          <w:lang w:val="pt-BR"/>
        </w:rPr>
        <w:t>e</w:t>
      </w:r>
      <w:r w:rsidR="00B316CC">
        <w:rPr>
          <w:rFonts w:ascii="Helvetica Neue" w:eastAsia="Helvetica Neue" w:hAnsi="Helvetica Neue" w:cs="Helvetica Neue"/>
          <w:color w:val="000000"/>
          <w:sz w:val="18"/>
          <w:szCs w:val="18"/>
          <w:lang w:val="pt-BR"/>
        </w:rPr>
        <w:t xml:space="preserve"> acordo com o</w:t>
      </w:r>
      <w:r w:rsidR="00DE0047">
        <w:rPr>
          <w:rFonts w:ascii="Helvetica Neue" w:eastAsia="Helvetica Neue" w:hAnsi="Helvetica Neue" w:cs="Helvetica Neue"/>
          <w:color w:val="000000"/>
          <w:sz w:val="18"/>
          <w:szCs w:val="18"/>
          <w:lang w:val="pt-BR"/>
        </w:rPr>
        <w:t xml:space="preserve"> CNM (2015),</w:t>
      </w:r>
      <w:r w:rsidR="00B316CC">
        <w:rPr>
          <w:rFonts w:ascii="Helvetica Neue" w:eastAsia="Helvetica Neue" w:hAnsi="Helvetica Neue" w:cs="Helvetica Neue"/>
          <w:color w:val="000000"/>
          <w:sz w:val="18"/>
          <w:szCs w:val="18"/>
          <w:lang w:val="pt-BR"/>
        </w:rPr>
        <w:t xml:space="preserve"> </w:t>
      </w:r>
      <w:r w:rsidR="00DE0047">
        <w:rPr>
          <w:rFonts w:ascii="Helvetica Neue" w:eastAsia="Helvetica Neue" w:hAnsi="Helvetica Neue" w:cs="Helvetica Neue"/>
          <w:color w:val="000000"/>
          <w:sz w:val="18"/>
          <w:szCs w:val="18"/>
          <w:lang w:val="pt-BR"/>
        </w:rPr>
        <w:t xml:space="preserve">o </w:t>
      </w:r>
      <w:r w:rsidR="00B316CC">
        <w:rPr>
          <w:rFonts w:ascii="Helvetica Neue" w:eastAsia="Helvetica Neue" w:hAnsi="Helvetica Neue" w:cs="Helvetica Neue"/>
          <w:color w:val="000000"/>
          <w:sz w:val="18"/>
          <w:szCs w:val="18"/>
          <w:lang w:val="pt-BR"/>
        </w:rPr>
        <w:t>IBGE</w:t>
      </w:r>
      <w:r w:rsidR="00DE0047">
        <w:rPr>
          <w:rFonts w:ascii="Helvetica Neue" w:eastAsia="Helvetica Neue" w:hAnsi="Helvetica Neue" w:cs="Helvetica Neue"/>
          <w:color w:val="000000"/>
          <w:sz w:val="18"/>
          <w:szCs w:val="18"/>
          <w:lang w:val="pt-BR"/>
        </w:rPr>
        <w:t xml:space="preserve"> constatou que</w:t>
      </w:r>
      <w:r w:rsidR="007570C8" w:rsidRPr="007570C8">
        <w:rPr>
          <w:rFonts w:ascii="Helvetica Neue" w:eastAsia="Helvetica Neue" w:hAnsi="Helvetica Neue" w:cs="Helvetica Neue"/>
          <w:color w:val="000000"/>
          <w:sz w:val="18"/>
          <w:szCs w:val="18"/>
          <w:lang w:val="pt-BR"/>
        </w:rPr>
        <w:t xml:space="preserve"> </w:t>
      </w:r>
      <w:r w:rsidR="00DE0047">
        <w:rPr>
          <w:rFonts w:ascii="Helvetica Neue" w:eastAsia="Helvetica Neue" w:hAnsi="Helvetica Neue" w:cs="Helvetica Neue"/>
          <w:color w:val="000000"/>
          <w:sz w:val="18"/>
          <w:szCs w:val="18"/>
          <w:lang w:val="pt-BR"/>
        </w:rPr>
        <w:t>entre</w:t>
      </w:r>
      <w:r w:rsidR="007570C8" w:rsidRPr="007570C8">
        <w:rPr>
          <w:rFonts w:ascii="Helvetica Neue" w:eastAsia="Helvetica Neue" w:hAnsi="Helvetica Neue" w:cs="Helvetica Neue"/>
          <w:color w:val="000000"/>
          <w:sz w:val="18"/>
          <w:szCs w:val="18"/>
          <w:lang w:val="pt-BR"/>
        </w:rPr>
        <w:t xml:space="preserve"> 2001 </w:t>
      </w:r>
      <w:r w:rsidR="00DE0047">
        <w:rPr>
          <w:rFonts w:ascii="Helvetica Neue" w:eastAsia="Helvetica Neue" w:hAnsi="Helvetica Neue" w:cs="Helvetica Neue"/>
          <w:color w:val="000000"/>
          <w:sz w:val="18"/>
          <w:szCs w:val="18"/>
          <w:lang w:val="pt-BR"/>
        </w:rPr>
        <w:t>e</w:t>
      </w:r>
      <w:r w:rsidR="007570C8" w:rsidRPr="007570C8">
        <w:rPr>
          <w:rFonts w:ascii="Helvetica Neue" w:eastAsia="Helvetica Neue" w:hAnsi="Helvetica Neue" w:cs="Helvetica Neue"/>
          <w:color w:val="000000"/>
          <w:sz w:val="18"/>
          <w:szCs w:val="18"/>
          <w:lang w:val="pt-BR"/>
        </w:rPr>
        <w:t xml:space="preserve"> 2014</w:t>
      </w:r>
      <w:r w:rsidR="006A3B43" w:rsidRPr="007570C8">
        <w:rPr>
          <w:rFonts w:ascii="Helvetica Neue" w:eastAsia="Helvetica Neue" w:hAnsi="Helvetica Neue" w:cs="Helvetica Neue"/>
          <w:color w:val="000000"/>
          <w:sz w:val="18"/>
          <w:szCs w:val="18"/>
          <w:lang w:val="pt-BR"/>
        </w:rPr>
        <w:t xml:space="preserve"> </w:t>
      </w:r>
      <w:r w:rsidR="007570C8" w:rsidRPr="007570C8">
        <w:rPr>
          <w:rFonts w:ascii="Helvetica Neue" w:eastAsia="Helvetica Neue" w:hAnsi="Helvetica Neue" w:cs="Helvetica Neue"/>
          <w:color w:val="000000"/>
          <w:sz w:val="18"/>
          <w:szCs w:val="18"/>
          <w:lang w:val="pt-BR"/>
        </w:rPr>
        <w:t>o número de municípios que possuíam faculda</w:t>
      </w:r>
      <w:r w:rsidR="006A3B43">
        <w:rPr>
          <w:rFonts w:ascii="Helvetica Neue" w:eastAsia="Helvetica Neue" w:hAnsi="Helvetica Neue" w:cs="Helvetica Neue"/>
          <w:color w:val="000000"/>
          <w:sz w:val="18"/>
          <w:szCs w:val="18"/>
          <w:lang w:val="pt-BR"/>
        </w:rPr>
        <w:t>des e universidades fo</w:t>
      </w:r>
      <w:r w:rsidR="00DE0047">
        <w:rPr>
          <w:rFonts w:ascii="Helvetica Neue" w:eastAsia="Helvetica Neue" w:hAnsi="Helvetica Neue" w:cs="Helvetica Neue"/>
          <w:color w:val="000000"/>
          <w:sz w:val="18"/>
          <w:szCs w:val="18"/>
          <w:lang w:val="pt-BR"/>
        </w:rPr>
        <w:t>i</w:t>
      </w:r>
      <w:r w:rsidR="006A3B43">
        <w:rPr>
          <w:rFonts w:ascii="Helvetica Neue" w:eastAsia="Helvetica Neue" w:hAnsi="Helvetica Neue" w:cs="Helvetica Neue"/>
          <w:color w:val="000000"/>
          <w:sz w:val="18"/>
          <w:szCs w:val="18"/>
          <w:lang w:val="pt-BR"/>
        </w:rPr>
        <w:t xml:space="preserve"> de 19,</w:t>
      </w:r>
      <w:r w:rsidR="007570C8" w:rsidRPr="007570C8">
        <w:rPr>
          <w:rFonts w:ascii="Helvetica Neue" w:eastAsia="Helvetica Neue" w:hAnsi="Helvetica Neue" w:cs="Helvetica Neue"/>
          <w:color w:val="000000"/>
          <w:sz w:val="18"/>
          <w:szCs w:val="18"/>
          <w:lang w:val="pt-BR"/>
        </w:rPr>
        <w:t xml:space="preserve">6% para 39,9%, facilitando o acesso da população à graduação. </w:t>
      </w:r>
    </w:p>
    <w:p w14:paraId="49898ADF" w14:textId="2800FEED" w:rsidR="007570C8" w:rsidRPr="007570C8" w:rsidRDefault="007570C8"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sidRPr="007570C8">
        <w:rPr>
          <w:rFonts w:ascii="Helvetica Neue" w:eastAsia="Helvetica Neue" w:hAnsi="Helvetica Neue" w:cs="Helvetica Neue"/>
          <w:color w:val="000000"/>
          <w:sz w:val="18"/>
          <w:szCs w:val="18"/>
          <w:lang w:val="pt-BR"/>
        </w:rPr>
        <w:t xml:space="preserve">As </w:t>
      </w:r>
      <w:r w:rsidR="005A087F">
        <w:rPr>
          <w:rFonts w:ascii="Helvetica Neue" w:eastAsia="Helvetica Neue" w:hAnsi="Helvetica Neue" w:cs="Helvetica Neue"/>
          <w:color w:val="000000"/>
          <w:sz w:val="18"/>
          <w:szCs w:val="18"/>
          <w:lang w:val="pt-BR"/>
        </w:rPr>
        <w:t>IE</w:t>
      </w:r>
      <w:r w:rsidR="005E1C71">
        <w:rPr>
          <w:rFonts w:ascii="Helvetica Neue" w:eastAsia="Helvetica Neue" w:hAnsi="Helvetica Neue" w:cs="Helvetica Neue"/>
          <w:color w:val="000000"/>
          <w:sz w:val="18"/>
          <w:szCs w:val="18"/>
          <w:lang w:val="pt-BR"/>
        </w:rPr>
        <w:t>S</w:t>
      </w:r>
      <w:r w:rsidR="005A087F">
        <w:rPr>
          <w:rFonts w:ascii="Helvetica Neue" w:eastAsia="Helvetica Neue" w:hAnsi="Helvetica Neue" w:cs="Helvetica Neue"/>
          <w:color w:val="000000"/>
          <w:sz w:val="18"/>
          <w:szCs w:val="18"/>
          <w:lang w:val="pt-BR"/>
        </w:rPr>
        <w:t xml:space="preserve"> </w:t>
      </w:r>
      <w:r w:rsidR="005E1C71">
        <w:rPr>
          <w:rFonts w:ascii="Helvetica Neue" w:eastAsia="Helvetica Neue" w:hAnsi="Helvetica Neue" w:cs="Helvetica Neue"/>
          <w:color w:val="000000"/>
          <w:sz w:val="18"/>
          <w:szCs w:val="18"/>
          <w:lang w:val="pt-BR"/>
        </w:rPr>
        <w:t xml:space="preserve">proporcionam, </w:t>
      </w:r>
      <w:r w:rsidR="005E1C71" w:rsidRPr="007570C8">
        <w:rPr>
          <w:rFonts w:ascii="Helvetica Neue" w:eastAsia="Helvetica Neue" w:hAnsi="Helvetica Neue" w:cs="Helvetica Neue"/>
          <w:color w:val="000000"/>
          <w:sz w:val="18"/>
          <w:szCs w:val="18"/>
          <w:lang w:val="pt-BR"/>
        </w:rPr>
        <w:t>além da geração de emprego e renda</w:t>
      </w:r>
      <w:r w:rsidR="005E1C71">
        <w:rPr>
          <w:rFonts w:ascii="Helvetica Neue" w:eastAsia="Helvetica Neue" w:hAnsi="Helvetica Neue" w:cs="Helvetica Neue"/>
          <w:color w:val="000000"/>
          <w:sz w:val="18"/>
          <w:szCs w:val="18"/>
          <w:lang w:val="pt-BR"/>
        </w:rPr>
        <w:t>,</w:t>
      </w:r>
      <w:r w:rsidRPr="007570C8">
        <w:rPr>
          <w:rFonts w:ascii="Helvetica Neue" w:eastAsia="Helvetica Neue" w:hAnsi="Helvetica Neue" w:cs="Helvetica Neue"/>
          <w:color w:val="000000"/>
          <w:sz w:val="18"/>
          <w:szCs w:val="18"/>
          <w:lang w:val="pt-BR"/>
        </w:rPr>
        <w:t xml:space="preserve"> formação qualificada de novos profissionais</w:t>
      </w:r>
      <w:r w:rsidR="005E1C71">
        <w:rPr>
          <w:rFonts w:ascii="Helvetica Neue" w:eastAsia="Helvetica Neue" w:hAnsi="Helvetica Neue" w:cs="Helvetica Neue"/>
          <w:color w:val="000000"/>
          <w:sz w:val="18"/>
          <w:szCs w:val="18"/>
          <w:lang w:val="pt-BR"/>
        </w:rPr>
        <w:t xml:space="preserve">. </w:t>
      </w:r>
      <w:r w:rsidRPr="007570C8">
        <w:rPr>
          <w:rFonts w:ascii="Helvetica Neue" w:eastAsia="Helvetica Neue" w:hAnsi="Helvetica Neue" w:cs="Helvetica Neue"/>
          <w:color w:val="000000"/>
          <w:sz w:val="18"/>
          <w:szCs w:val="18"/>
          <w:lang w:val="pt-BR"/>
        </w:rPr>
        <w:t>Visando crescimento, cidades menores buscam</w:t>
      </w:r>
      <w:r w:rsidR="005E1C71">
        <w:rPr>
          <w:rFonts w:ascii="Helvetica Neue" w:eastAsia="Helvetica Neue" w:hAnsi="Helvetica Neue" w:cs="Helvetica Neue"/>
          <w:color w:val="000000"/>
          <w:sz w:val="18"/>
          <w:szCs w:val="18"/>
          <w:lang w:val="pt-BR"/>
        </w:rPr>
        <w:t xml:space="preserve"> a</w:t>
      </w:r>
      <w:r w:rsidRPr="007570C8">
        <w:rPr>
          <w:rFonts w:ascii="Helvetica Neue" w:eastAsia="Helvetica Neue" w:hAnsi="Helvetica Neue" w:cs="Helvetica Neue"/>
          <w:color w:val="000000"/>
          <w:sz w:val="18"/>
          <w:szCs w:val="18"/>
          <w:lang w:val="pt-BR"/>
        </w:rPr>
        <w:t xml:space="preserve"> instalação de novas IES</w:t>
      </w:r>
      <w:r w:rsidR="005E1C71">
        <w:rPr>
          <w:rFonts w:ascii="Helvetica Neue" w:eastAsia="Helvetica Neue" w:hAnsi="Helvetica Neue" w:cs="Helvetica Neue"/>
          <w:color w:val="000000"/>
          <w:sz w:val="18"/>
          <w:szCs w:val="18"/>
          <w:lang w:val="pt-BR"/>
        </w:rPr>
        <w:t xml:space="preserve"> para</w:t>
      </w:r>
      <w:r w:rsidRPr="007570C8">
        <w:rPr>
          <w:rFonts w:ascii="Helvetica Neue" w:eastAsia="Helvetica Neue" w:hAnsi="Helvetica Neue" w:cs="Helvetica Neue"/>
          <w:color w:val="000000"/>
          <w:sz w:val="18"/>
          <w:szCs w:val="18"/>
          <w:lang w:val="pt-BR"/>
        </w:rPr>
        <w:t xml:space="preserve"> supr</w:t>
      </w:r>
      <w:r w:rsidR="005E1C71">
        <w:rPr>
          <w:rFonts w:ascii="Helvetica Neue" w:eastAsia="Helvetica Neue" w:hAnsi="Helvetica Neue" w:cs="Helvetica Neue"/>
          <w:color w:val="000000"/>
          <w:sz w:val="18"/>
          <w:szCs w:val="18"/>
          <w:lang w:val="pt-BR"/>
        </w:rPr>
        <w:t>ir</w:t>
      </w:r>
      <w:r w:rsidRPr="007570C8">
        <w:rPr>
          <w:rFonts w:ascii="Helvetica Neue" w:eastAsia="Helvetica Neue" w:hAnsi="Helvetica Neue" w:cs="Helvetica Neue"/>
          <w:color w:val="000000"/>
          <w:sz w:val="18"/>
          <w:szCs w:val="18"/>
          <w:lang w:val="pt-BR"/>
        </w:rPr>
        <w:t xml:space="preserve"> a</w:t>
      </w:r>
      <w:r w:rsidR="005E1C71">
        <w:rPr>
          <w:rFonts w:ascii="Helvetica Neue" w:eastAsia="Helvetica Neue" w:hAnsi="Helvetica Neue" w:cs="Helvetica Neue"/>
          <w:color w:val="000000"/>
          <w:sz w:val="18"/>
          <w:szCs w:val="18"/>
          <w:lang w:val="pt-BR"/>
        </w:rPr>
        <w:t>s</w:t>
      </w:r>
      <w:r w:rsidRPr="007570C8">
        <w:rPr>
          <w:rFonts w:ascii="Helvetica Neue" w:eastAsia="Helvetica Neue" w:hAnsi="Helvetica Neue" w:cs="Helvetica Neue"/>
          <w:color w:val="000000"/>
          <w:sz w:val="18"/>
          <w:szCs w:val="18"/>
          <w:lang w:val="pt-BR"/>
        </w:rPr>
        <w:t xml:space="preserve"> necessidade</w:t>
      </w:r>
      <w:r w:rsidR="005E1C71">
        <w:rPr>
          <w:rFonts w:ascii="Helvetica Neue" w:eastAsia="Helvetica Neue" w:hAnsi="Helvetica Neue" w:cs="Helvetica Neue"/>
          <w:color w:val="000000"/>
          <w:sz w:val="18"/>
          <w:szCs w:val="18"/>
          <w:lang w:val="pt-BR"/>
        </w:rPr>
        <w:t>s</w:t>
      </w:r>
      <w:r w:rsidRPr="007570C8">
        <w:rPr>
          <w:rFonts w:ascii="Helvetica Neue" w:eastAsia="Helvetica Neue" w:hAnsi="Helvetica Neue" w:cs="Helvetica Neue"/>
          <w:color w:val="000000"/>
          <w:sz w:val="18"/>
          <w:szCs w:val="18"/>
          <w:lang w:val="pt-BR"/>
        </w:rPr>
        <w:t xml:space="preserve"> de uma região. Des</w:t>
      </w:r>
      <w:r w:rsidR="005E1C71">
        <w:rPr>
          <w:rFonts w:ascii="Helvetica Neue" w:eastAsia="Helvetica Neue" w:hAnsi="Helvetica Neue" w:cs="Helvetica Neue"/>
          <w:color w:val="000000"/>
          <w:sz w:val="18"/>
          <w:szCs w:val="18"/>
          <w:lang w:val="pt-BR"/>
        </w:rPr>
        <w:t>s</w:t>
      </w:r>
      <w:r w:rsidRPr="007570C8">
        <w:rPr>
          <w:rFonts w:ascii="Helvetica Neue" w:eastAsia="Helvetica Neue" w:hAnsi="Helvetica Neue" w:cs="Helvetica Neue"/>
          <w:color w:val="000000"/>
          <w:sz w:val="18"/>
          <w:szCs w:val="18"/>
          <w:lang w:val="pt-BR"/>
        </w:rPr>
        <w:t xml:space="preserve">e modo, alunos, professores e funcionários que moram </w:t>
      </w:r>
      <w:r w:rsidR="005E1C71">
        <w:rPr>
          <w:rFonts w:ascii="Helvetica Neue" w:eastAsia="Helvetica Neue" w:hAnsi="Helvetica Neue" w:cs="Helvetica Neue"/>
          <w:color w:val="000000"/>
          <w:sz w:val="18"/>
          <w:szCs w:val="18"/>
          <w:lang w:val="pt-BR"/>
        </w:rPr>
        <w:t>na cidade ou em</w:t>
      </w:r>
      <w:r w:rsidRPr="007570C8">
        <w:rPr>
          <w:rFonts w:ascii="Helvetica Neue" w:eastAsia="Helvetica Neue" w:hAnsi="Helvetica Neue" w:cs="Helvetica Neue"/>
          <w:color w:val="000000"/>
          <w:sz w:val="18"/>
          <w:szCs w:val="18"/>
          <w:lang w:val="pt-BR"/>
        </w:rPr>
        <w:t xml:space="preserve"> localidades próximas possuem a alternativa de se transportarem diariamente, e</w:t>
      </w:r>
      <w:r w:rsidR="003F0952">
        <w:rPr>
          <w:rFonts w:ascii="Helvetica Neue" w:eastAsia="Helvetica Neue" w:hAnsi="Helvetica Neue" w:cs="Helvetica Neue"/>
          <w:color w:val="000000"/>
          <w:sz w:val="18"/>
          <w:szCs w:val="18"/>
          <w:lang w:val="pt-BR"/>
        </w:rPr>
        <w:t>nquanto</w:t>
      </w:r>
      <w:r w:rsidRPr="007570C8">
        <w:rPr>
          <w:rFonts w:ascii="Helvetica Neue" w:eastAsia="Helvetica Neue" w:hAnsi="Helvetica Neue" w:cs="Helvetica Neue"/>
          <w:color w:val="000000"/>
          <w:sz w:val="18"/>
          <w:szCs w:val="18"/>
          <w:lang w:val="pt-BR"/>
        </w:rPr>
        <w:t xml:space="preserve"> </w:t>
      </w:r>
      <w:r w:rsidR="005E1C71">
        <w:rPr>
          <w:rFonts w:ascii="Helvetica Neue" w:eastAsia="Helvetica Neue" w:hAnsi="Helvetica Neue" w:cs="Helvetica Neue"/>
          <w:color w:val="000000"/>
          <w:sz w:val="18"/>
          <w:szCs w:val="18"/>
          <w:lang w:val="pt-BR"/>
        </w:rPr>
        <w:t xml:space="preserve">os de municípios distantes </w:t>
      </w:r>
      <w:r w:rsidR="003F0952">
        <w:rPr>
          <w:rFonts w:ascii="Helvetica Neue" w:eastAsia="Helvetica Neue" w:hAnsi="Helvetica Neue" w:cs="Helvetica Neue"/>
          <w:color w:val="000000"/>
          <w:sz w:val="18"/>
          <w:szCs w:val="18"/>
          <w:lang w:val="pt-BR"/>
        </w:rPr>
        <w:t>têm a opção de mudarem-se para a cidade</w:t>
      </w:r>
      <w:r w:rsidRPr="007570C8">
        <w:rPr>
          <w:rFonts w:ascii="Helvetica Neue" w:eastAsia="Helvetica Neue" w:hAnsi="Helvetica Neue" w:cs="Helvetica Neue"/>
          <w:color w:val="000000"/>
          <w:sz w:val="18"/>
          <w:szCs w:val="18"/>
          <w:lang w:val="pt-BR"/>
        </w:rPr>
        <w:t xml:space="preserve">. </w:t>
      </w:r>
    </w:p>
    <w:p w14:paraId="3CA17277" w14:textId="09536E82" w:rsidR="00843306" w:rsidRPr="007570C8" w:rsidRDefault="007570C8"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sidRPr="007570C8">
        <w:rPr>
          <w:rFonts w:ascii="Helvetica Neue" w:eastAsia="Helvetica Neue" w:hAnsi="Helvetica Neue" w:cs="Helvetica Neue"/>
          <w:color w:val="000000"/>
          <w:sz w:val="18"/>
          <w:szCs w:val="18"/>
          <w:lang w:val="pt-BR"/>
        </w:rPr>
        <w:t>Com base nisso, podemos considerar essas organizações como Polos Geradores de Viagens (PGV). Segundo Jacques et al. (2010), embora de diferentes naturezas, os PGV</w:t>
      </w:r>
      <w:r w:rsidR="003F0952">
        <w:rPr>
          <w:rFonts w:ascii="Helvetica Neue" w:eastAsia="Helvetica Neue" w:hAnsi="Helvetica Neue" w:cs="Helvetica Neue"/>
          <w:color w:val="000000"/>
          <w:sz w:val="18"/>
          <w:szCs w:val="18"/>
          <w:lang w:val="pt-BR"/>
        </w:rPr>
        <w:t>’</w:t>
      </w:r>
      <w:r w:rsidRPr="007570C8">
        <w:rPr>
          <w:rFonts w:ascii="Helvetica Neue" w:eastAsia="Helvetica Neue" w:hAnsi="Helvetica Neue" w:cs="Helvetica Neue"/>
          <w:color w:val="000000"/>
          <w:sz w:val="18"/>
          <w:szCs w:val="18"/>
          <w:lang w:val="pt-BR"/>
        </w:rPr>
        <w:t>s consistem em empreendimentos que têm em comum o potencial de atrair e produzir um número de viagens que impactam os sistemas viários e de transportes da região onde se localizam. O presente artigo objetiva proporcionar dados referentes às viagens realizadas por estudantes que frequentam instituições públicas e privadas na cidade de Cajazeiras – Paraíba, de forma qualitativa e quantitativa.</w:t>
      </w:r>
    </w:p>
    <w:p w14:paraId="18B116D3" w14:textId="77777777" w:rsidR="00843306" w:rsidRDefault="00D35C45">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5CC55D17" w14:textId="4793D20F" w:rsidR="007570C8" w:rsidRPr="007570C8" w:rsidRDefault="007570C8"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sidRPr="007570C8">
        <w:rPr>
          <w:rFonts w:ascii="Helvetica Neue" w:eastAsia="Helvetica Neue" w:hAnsi="Helvetica Neue" w:cs="Helvetica Neue"/>
          <w:color w:val="000000"/>
          <w:sz w:val="18"/>
          <w:szCs w:val="18"/>
          <w:lang w:val="pt-BR"/>
        </w:rPr>
        <w:t xml:space="preserve">O presente trabalho se apresenta através de uma abordagem descritiva e quantitativa dos padrões de viagens, pois busca descrever concepções realizadas por uma pesquisa </w:t>
      </w:r>
      <w:r w:rsidR="003F0952">
        <w:rPr>
          <w:rFonts w:ascii="Helvetica Neue" w:eastAsia="Helvetica Neue" w:hAnsi="Helvetica Neue" w:cs="Helvetica Neue"/>
          <w:color w:val="000000"/>
          <w:sz w:val="18"/>
          <w:szCs w:val="18"/>
          <w:lang w:val="pt-BR"/>
        </w:rPr>
        <w:t xml:space="preserve">com </w:t>
      </w:r>
      <w:r w:rsidRPr="007570C8">
        <w:rPr>
          <w:rFonts w:ascii="Helvetica Neue" w:eastAsia="Helvetica Neue" w:hAnsi="Helvetica Neue" w:cs="Helvetica Neue"/>
          <w:color w:val="000000"/>
          <w:sz w:val="18"/>
          <w:szCs w:val="18"/>
          <w:lang w:val="pt-BR"/>
        </w:rPr>
        <w:t>os alunos das instituições de ensino superior de Cajazeiras, a qual foi codificada numericamente. Diante disso, a metodologia utilizada neste trabalho corresponde à seleção, coleta e tratamento dos dados para a caracterização dos padrões de viagens dos estudantes das IES</w:t>
      </w:r>
      <w:r w:rsidR="00E943CB">
        <w:rPr>
          <w:rFonts w:ascii="Helvetica Neue" w:eastAsia="Helvetica Neue" w:hAnsi="Helvetica Neue" w:cs="Helvetica Neue"/>
          <w:color w:val="000000"/>
          <w:sz w:val="18"/>
          <w:szCs w:val="18"/>
          <w:lang w:val="pt-BR"/>
        </w:rPr>
        <w:t>.</w:t>
      </w:r>
    </w:p>
    <w:p w14:paraId="1A911D4A" w14:textId="7AFF4504" w:rsidR="007570C8" w:rsidRPr="007570C8" w:rsidRDefault="00752DB5"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Pr>
          <w:rFonts w:ascii="Helvetica Neue" w:eastAsia="Helvetica Neue" w:hAnsi="Helvetica Neue" w:cs="Helvetica Neue"/>
          <w:color w:val="000000"/>
          <w:sz w:val="18"/>
          <w:szCs w:val="18"/>
          <w:lang w:val="pt-BR"/>
        </w:rPr>
        <w:t>S</w:t>
      </w:r>
      <w:r w:rsidR="007570C8" w:rsidRPr="007570C8">
        <w:rPr>
          <w:rFonts w:ascii="Helvetica Neue" w:eastAsia="Helvetica Neue" w:hAnsi="Helvetica Neue" w:cs="Helvetica Neue"/>
          <w:color w:val="000000"/>
          <w:sz w:val="18"/>
          <w:szCs w:val="18"/>
          <w:lang w:val="pt-BR"/>
        </w:rPr>
        <w:t>ele</w:t>
      </w:r>
      <w:r>
        <w:rPr>
          <w:rFonts w:ascii="Helvetica Neue" w:eastAsia="Helvetica Neue" w:hAnsi="Helvetica Neue" w:cs="Helvetica Neue"/>
          <w:color w:val="000000"/>
          <w:sz w:val="18"/>
          <w:szCs w:val="18"/>
          <w:lang w:val="pt-BR"/>
        </w:rPr>
        <w:t>cionar</w:t>
      </w:r>
      <w:r w:rsidR="007570C8" w:rsidRPr="007570C8">
        <w:rPr>
          <w:rFonts w:ascii="Helvetica Neue" w:eastAsia="Helvetica Neue" w:hAnsi="Helvetica Neue" w:cs="Helvetica Neue"/>
          <w:color w:val="000000"/>
          <w:sz w:val="18"/>
          <w:szCs w:val="18"/>
          <w:lang w:val="pt-BR"/>
        </w:rPr>
        <w:t xml:space="preserve"> as </w:t>
      </w:r>
      <w:r>
        <w:rPr>
          <w:rFonts w:ascii="Helvetica Neue" w:eastAsia="Helvetica Neue" w:hAnsi="Helvetica Neue" w:cs="Helvetica Neue"/>
          <w:color w:val="000000"/>
          <w:sz w:val="18"/>
          <w:szCs w:val="18"/>
          <w:lang w:val="pt-BR"/>
        </w:rPr>
        <w:t>IES</w:t>
      </w:r>
      <w:r w:rsidR="007570C8" w:rsidRPr="007570C8">
        <w:rPr>
          <w:rFonts w:ascii="Helvetica Neue" w:eastAsia="Helvetica Neue" w:hAnsi="Helvetica Neue" w:cs="Helvetica Neue"/>
          <w:color w:val="000000"/>
          <w:sz w:val="18"/>
          <w:szCs w:val="18"/>
          <w:lang w:val="pt-BR"/>
        </w:rPr>
        <w:t xml:space="preserve"> foi a primeira etapa da pesquisa. Para a aplicação, foram escolhidas 5 instituições da cidade de Cajazeiras, onde 2 são </w:t>
      </w:r>
      <w:r>
        <w:rPr>
          <w:rFonts w:ascii="Helvetica Neue" w:eastAsia="Helvetica Neue" w:hAnsi="Helvetica Neue" w:cs="Helvetica Neue"/>
          <w:color w:val="000000"/>
          <w:sz w:val="18"/>
          <w:szCs w:val="18"/>
          <w:lang w:val="pt-BR"/>
        </w:rPr>
        <w:t>públicas</w:t>
      </w:r>
      <w:r w:rsidR="007570C8" w:rsidRPr="007570C8">
        <w:rPr>
          <w:rFonts w:ascii="Helvetica Neue" w:eastAsia="Helvetica Neue" w:hAnsi="Helvetica Neue" w:cs="Helvetica Neue"/>
          <w:color w:val="000000"/>
          <w:sz w:val="18"/>
          <w:szCs w:val="18"/>
          <w:lang w:val="pt-BR"/>
        </w:rPr>
        <w:t xml:space="preserve"> (Universidade Federal da Paraíba – UFCG e Instituto Federal de Educação, Ciência e Tecnologia da Paraíba – IFPB) e 3 são p</w:t>
      </w:r>
      <w:r>
        <w:rPr>
          <w:rFonts w:ascii="Helvetica Neue" w:eastAsia="Helvetica Neue" w:hAnsi="Helvetica Neue" w:cs="Helvetica Neue"/>
          <w:color w:val="000000"/>
          <w:sz w:val="18"/>
          <w:szCs w:val="18"/>
          <w:lang w:val="pt-BR"/>
        </w:rPr>
        <w:t>articulares</w:t>
      </w:r>
      <w:r w:rsidR="007570C8" w:rsidRPr="007570C8">
        <w:rPr>
          <w:rFonts w:ascii="Helvetica Neue" w:eastAsia="Helvetica Neue" w:hAnsi="Helvetica Neue" w:cs="Helvetica Neue"/>
          <w:color w:val="000000"/>
          <w:sz w:val="18"/>
          <w:szCs w:val="18"/>
          <w:lang w:val="pt-BR"/>
        </w:rPr>
        <w:t xml:space="preserve"> (Faculdade Santa Maria - FSM, Faculdade São Francisco - FASP e Faculdade de Filosofia, Ciências e Letras de Cajazeiras – FAFIC).</w:t>
      </w:r>
    </w:p>
    <w:p w14:paraId="4C1D62DE" w14:textId="447EF93D" w:rsidR="007570C8" w:rsidRPr="007570C8" w:rsidRDefault="007570C8"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sidRPr="007570C8">
        <w:rPr>
          <w:rFonts w:ascii="Helvetica Neue" w:eastAsia="Helvetica Neue" w:hAnsi="Helvetica Neue" w:cs="Helvetica Neue"/>
          <w:color w:val="000000"/>
          <w:sz w:val="18"/>
          <w:szCs w:val="18"/>
          <w:lang w:val="pt-BR"/>
        </w:rPr>
        <w:t xml:space="preserve">Em seguida, coletou-se os dados para a continuidade da pesquisa. Essa coleta foi realizada através de um formulário virtual, aplicado diretamente aos estudantes das instituições selecionadas, </w:t>
      </w:r>
      <w:r w:rsidR="00752DB5">
        <w:rPr>
          <w:rFonts w:ascii="Helvetica Neue" w:eastAsia="Helvetica Neue" w:hAnsi="Helvetica Neue" w:cs="Helvetica Neue"/>
          <w:color w:val="000000"/>
          <w:sz w:val="18"/>
          <w:szCs w:val="18"/>
          <w:lang w:val="pt-BR"/>
        </w:rPr>
        <w:t>obtendo respostas de</w:t>
      </w:r>
      <w:r w:rsidRPr="007570C8">
        <w:rPr>
          <w:rFonts w:ascii="Helvetica Neue" w:eastAsia="Helvetica Neue" w:hAnsi="Helvetica Neue" w:cs="Helvetica Neue"/>
          <w:color w:val="000000"/>
          <w:sz w:val="18"/>
          <w:szCs w:val="18"/>
          <w:lang w:val="pt-BR"/>
        </w:rPr>
        <w:t xml:space="preserve"> alunos das cincos instituições escolhida</w:t>
      </w:r>
      <w:r w:rsidR="00752DB5">
        <w:rPr>
          <w:rFonts w:ascii="Helvetica Neue" w:eastAsia="Helvetica Neue" w:hAnsi="Helvetica Neue" w:cs="Helvetica Neue"/>
          <w:color w:val="000000"/>
          <w:sz w:val="18"/>
          <w:szCs w:val="18"/>
          <w:lang w:val="pt-BR"/>
        </w:rPr>
        <w:t xml:space="preserve">s </w:t>
      </w:r>
      <w:r w:rsidRPr="007570C8">
        <w:rPr>
          <w:rFonts w:ascii="Helvetica Neue" w:eastAsia="Helvetica Neue" w:hAnsi="Helvetica Neue" w:cs="Helvetica Neue"/>
          <w:color w:val="000000"/>
          <w:sz w:val="18"/>
          <w:szCs w:val="18"/>
          <w:lang w:val="pt-BR"/>
        </w:rPr>
        <w:t>durante o período de 25 de novembro até 04 de dezembro de 2020.</w:t>
      </w:r>
    </w:p>
    <w:p w14:paraId="1E66C753" w14:textId="59BAC12C" w:rsidR="007570C8" w:rsidRPr="007570C8" w:rsidRDefault="007570C8"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sidRPr="007570C8">
        <w:rPr>
          <w:rFonts w:ascii="Helvetica Neue" w:eastAsia="Helvetica Neue" w:hAnsi="Helvetica Neue" w:cs="Helvetica Neue"/>
          <w:color w:val="000000"/>
          <w:sz w:val="18"/>
          <w:szCs w:val="18"/>
          <w:lang w:val="pt-BR"/>
        </w:rPr>
        <w:t>Ademais, na terceira etapa, os resultados obtidos foram extraídos de modo que houvesse uma compilação de dados e, por conseguinte, foram organizados através de gráficos</w:t>
      </w:r>
      <w:r w:rsidR="00CA5312">
        <w:rPr>
          <w:rFonts w:ascii="Helvetica Neue" w:eastAsia="Helvetica Neue" w:hAnsi="Helvetica Neue" w:cs="Helvetica Neue"/>
          <w:color w:val="000000"/>
          <w:sz w:val="18"/>
          <w:szCs w:val="18"/>
          <w:lang w:val="pt-BR"/>
        </w:rPr>
        <w:t xml:space="preserve"> gerados </w:t>
      </w:r>
      <w:r w:rsidRPr="007570C8">
        <w:rPr>
          <w:rFonts w:ascii="Helvetica Neue" w:eastAsia="Helvetica Neue" w:hAnsi="Helvetica Neue" w:cs="Helvetica Neue"/>
          <w:color w:val="000000"/>
          <w:sz w:val="18"/>
          <w:szCs w:val="18"/>
          <w:lang w:val="pt-BR"/>
        </w:rPr>
        <w:t xml:space="preserve">através do </w:t>
      </w:r>
      <w:r w:rsidR="00CA5312">
        <w:rPr>
          <w:rFonts w:ascii="Helvetica Neue" w:eastAsia="Helvetica Neue" w:hAnsi="Helvetica Neue" w:cs="Helvetica Neue"/>
          <w:color w:val="000000"/>
          <w:sz w:val="18"/>
          <w:szCs w:val="18"/>
          <w:lang w:val="pt-BR"/>
        </w:rPr>
        <w:t xml:space="preserve">Google </w:t>
      </w:r>
      <w:proofErr w:type="spellStart"/>
      <w:r w:rsidR="00CA5312">
        <w:rPr>
          <w:rFonts w:ascii="Helvetica Neue" w:eastAsia="Helvetica Neue" w:hAnsi="Helvetica Neue" w:cs="Helvetica Neue"/>
          <w:color w:val="000000"/>
          <w:sz w:val="18"/>
          <w:szCs w:val="18"/>
          <w:lang w:val="pt-BR"/>
        </w:rPr>
        <w:t>Forms</w:t>
      </w:r>
      <w:proofErr w:type="spellEnd"/>
      <w:r w:rsidR="00CA5312">
        <w:rPr>
          <w:rFonts w:ascii="Helvetica Neue" w:eastAsia="Helvetica Neue" w:hAnsi="Helvetica Neue" w:cs="Helvetica Neue"/>
          <w:color w:val="000000"/>
          <w:sz w:val="18"/>
          <w:szCs w:val="18"/>
          <w:lang w:val="pt-BR"/>
        </w:rPr>
        <w:t xml:space="preserve"> </w:t>
      </w:r>
      <w:r w:rsidRPr="007570C8">
        <w:rPr>
          <w:rFonts w:ascii="Helvetica Neue" w:eastAsia="Helvetica Neue" w:hAnsi="Helvetica Neue" w:cs="Helvetica Neue"/>
          <w:color w:val="000000"/>
          <w:sz w:val="18"/>
          <w:szCs w:val="18"/>
          <w:lang w:val="pt-BR"/>
        </w:rPr>
        <w:t xml:space="preserve">e mapas criados pelo QGIS, onde pôde-se observar, de forma clara, sobre a caracterização dos padrões de viagens dos alunos. </w:t>
      </w:r>
    </w:p>
    <w:p w14:paraId="67F98B79" w14:textId="77777777" w:rsidR="007570C8" w:rsidRPr="007570C8" w:rsidRDefault="00FA6849" w:rsidP="00FA6849">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Pr>
          <w:rFonts w:ascii="Helvetica Neue" w:eastAsia="Helvetica Neue" w:hAnsi="Helvetica Neue" w:cs="Helvetica Neue"/>
          <w:color w:val="000000"/>
          <w:sz w:val="18"/>
          <w:szCs w:val="18"/>
          <w:lang w:val="pt-BR"/>
        </w:rPr>
        <w:t xml:space="preserve">A </w:t>
      </w:r>
      <w:r w:rsidR="007570C8">
        <w:rPr>
          <w:rFonts w:ascii="Helvetica Neue" w:eastAsia="Helvetica Neue" w:hAnsi="Helvetica Neue" w:cs="Helvetica Neue"/>
          <w:color w:val="000000"/>
          <w:sz w:val="18"/>
          <w:szCs w:val="18"/>
          <w:lang w:val="pt-BR"/>
        </w:rPr>
        <w:t>Equação (1)</w:t>
      </w:r>
      <w:r>
        <w:rPr>
          <w:rFonts w:ascii="Helvetica Neue" w:eastAsia="Helvetica Neue" w:hAnsi="Helvetica Neue" w:cs="Helvetica Neue"/>
          <w:color w:val="000000"/>
          <w:sz w:val="18"/>
          <w:szCs w:val="18"/>
          <w:lang w:val="pt-BR"/>
        </w:rPr>
        <w:t xml:space="preserve"> calcula</w:t>
      </w:r>
      <w:r w:rsidRPr="007570C8">
        <w:rPr>
          <w:rFonts w:ascii="Helvetica Neue" w:eastAsia="Helvetica Neue" w:hAnsi="Helvetica Neue" w:cs="Helvetica Neue"/>
          <w:color w:val="000000"/>
          <w:sz w:val="18"/>
          <w:szCs w:val="18"/>
          <w:lang w:val="pt-BR"/>
        </w:rPr>
        <w:t xml:space="preserve"> </w:t>
      </w:r>
      <w:r>
        <w:rPr>
          <w:rFonts w:ascii="Helvetica Neue" w:eastAsia="Helvetica Neue" w:hAnsi="Helvetica Neue" w:cs="Helvetica Neue"/>
          <w:color w:val="000000"/>
          <w:sz w:val="18"/>
          <w:szCs w:val="18"/>
          <w:lang w:val="pt-BR"/>
        </w:rPr>
        <w:t>a margem de erro.</w:t>
      </w:r>
    </w:p>
    <w:p w14:paraId="6B68965E" w14:textId="77777777" w:rsidR="007570C8" w:rsidRPr="007570C8" w:rsidRDefault="007570C8"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m:oMathPara>
        <m:oMath>
          <m:r>
            <w:rPr>
              <w:rFonts w:ascii="Cambria Math" w:eastAsia="Helvetica Neue" w:hAnsi="Cambria Math" w:cs="Helvetica Neue"/>
              <w:color w:val="000000"/>
              <w:sz w:val="18"/>
              <w:szCs w:val="18"/>
              <w:lang w:val="pt-BR"/>
            </w:rPr>
            <m:t xml:space="preserve">Margem de erro=Z </m:t>
          </m:r>
          <m:f>
            <m:fPr>
              <m:ctrlPr>
                <w:rPr>
                  <w:rFonts w:ascii="Cambria Math" w:eastAsia="Helvetica Neue" w:hAnsi="Cambria Math" w:cs="Helvetica Neue"/>
                  <w:i/>
                  <w:color w:val="000000"/>
                  <w:sz w:val="18"/>
                  <w:szCs w:val="18"/>
                  <w:lang w:val="pt-BR"/>
                </w:rPr>
              </m:ctrlPr>
            </m:fPr>
            <m:num>
              <m:r>
                <w:rPr>
                  <w:rFonts w:ascii="Cambria Math" w:eastAsia="Helvetica Neue" w:hAnsi="Cambria Math" w:cs="Helvetica Neue"/>
                  <w:color w:val="000000"/>
                  <w:sz w:val="18"/>
                  <w:szCs w:val="18"/>
                  <w:lang w:val="pt-BR"/>
                </w:rPr>
                <m:t>σ</m:t>
              </m:r>
            </m:num>
            <m:den>
              <m:rad>
                <m:radPr>
                  <m:degHide m:val="1"/>
                  <m:ctrlPr>
                    <w:rPr>
                      <w:rFonts w:ascii="Cambria Math" w:eastAsia="Helvetica Neue" w:hAnsi="Cambria Math" w:cs="Helvetica Neue"/>
                      <w:i/>
                      <w:color w:val="000000"/>
                      <w:sz w:val="18"/>
                      <w:szCs w:val="18"/>
                      <w:lang w:val="pt-BR"/>
                    </w:rPr>
                  </m:ctrlPr>
                </m:radPr>
                <m:deg/>
                <m:e>
                  <m:r>
                    <w:rPr>
                      <w:rFonts w:ascii="Cambria Math" w:eastAsia="Helvetica Neue" w:hAnsi="Cambria Math" w:cs="Helvetica Neue"/>
                      <w:color w:val="000000"/>
                      <w:sz w:val="18"/>
                      <w:szCs w:val="18"/>
                      <w:lang w:val="pt-BR"/>
                    </w:rPr>
                    <m:t>n</m:t>
                  </m:r>
                </m:e>
              </m:rad>
            </m:den>
          </m:f>
        </m:oMath>
      </m:oMathPara>
    </w:p>
    <w:p w14:paraId="265D8631" w14:textId="77777777" w:rsidR="007570C8" w:rsidRPr="007570C8" w:rsidRDefault="007570C8" w:rsidP="0082736D">
      <w:pPr>
        <w:widowControl w:val="0"/>
        <w:pBdr>
          <w:top w:val="nil"/>
          <w:left w:val="nil"/>
          <w:bottom w:val="nil"/>
          <w:right w:val="nil"/>
          <w:between w:val="nil"/>
        </w:pBdr>
        <w:spacing w:line="288" w:lineRule="auto"/>
        <w:ind w:right="142"/>
        <w:jc w:val="both"/>
        <w:rPr>
          <w:rFonts w:ascii="Helvetica Neue" w:eastAsia="Helvetica Neue" w:hAnsi="Helvetica Neue" w:cs="Helvetica Neue"/>
          <w:color w:val="000000"/>
          <w:sz w:val="18"/>
          <w:szCs w:val="18"/>
          <w:lang w:val="pt-BR"/>
        </w:rPr>
      </w:pPr>
    </w:p>
    <w:p w14:paraId="6CF1CAF5" w14:textId="0FF968F0" w:rsidR="007570C8" w:rsidRPr="007570C8" w:rsidRDefault="00FA6849"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Pr>
          <w:rFonts w:ascii="Helvetica Neue" w:eastAsia="Helvetica Neue" w:hAnsi="Helvetica Neue" w:cs="Helvetica Neue"/>
          <w:color w:val="000000"/>
          <w:sz w:val="18"/>
          <w:szCs w:val="18"/>
          <w:lang w:val="pt-BR"/>
        </w:rPr>
        <w:t>em que</w:t>
      </w:r>
      <w:r w:rsidR="007570C8" w:rsidRPr="007570C8">
        <w:rPr>
          <w:rFonts w:ascii="Helvetica Neue" w:eastAsia="Helvetica Neue" w:hAnsi="Helvetica Neue" w:cs="Helvetica Neue"/>
          <w:color w:val="000000"/>
          <w:sz w:val="18"/>
          <w:szCs w:val="18"/>
          <w:lang w:val="pt-BR"/>
        </w:rPr>
        <w:t xml:space="preserve"> </w:t>
      </w:r>
      <w:r w:rsidRPr="006A3B43">
        <w:rPr>
          <w:rFonts w:ascii="Helvetica Neue" w:eastAsia="Helvetica Neue" w:hAnsi="Helvetica Neue" w:cs="Helvetica Neue"/>
          <w:i/>
          <w:color w:val="000000"/>
          <w:sz w:val="18"/>
          <w:szCs w:val="18"/>
          <w:lang w:val="pt-BR"/>
        </w:rPr>
        <w:t>n</w:t>
      </w:r>
      <w:r>
        <w:rPr>
          <w:rFonts w:ascii="Helvetica Neue" w:eastAsia="Helvetica Neue" w:hAnsi="Helvetica Neue" w:cs="Helvetica Neue"/>
          <w:color w:val="000000"/>
          <w:sz w:val="18"/>
          <w:szCs w:val="18"/>
          <w:lang w:val="pt-BR"/>
        </w:rPr>
        <w:t xml:space="preserve"> é o</w:t>
      </w:r>
      <w:r w:rsidR="007570C8" w:rsidRPr="007570C8">
        <w:rPr>
          <w:rFonts w:ascii="Helvetica Neue" w:eastAsia="Helvetica Neue" w:hAnsi="Helvetica Neue" w:cs="Helvetica Neue"/>
          <w:color w:val="000000"/>
          <w:sz w:val="18"/>
          <w:szCs w:val="18"/>
          <w:lang w:val="pt-BR"/>
        </w:rPr>
        <w:t xml:space="preserve"> tamanho da amostra; </w:t>
      </w:r>
      <m:oMath>
        <m:r>
          <w:rPr>
            <w:rFonts w:ascii="Cambria Math" w:eastAsia="Helvetica Neue" w:hAnsi="Cambria Math" w:cs="Helvetica Neue"/>
            <w:color w:val="000000"/>
            <w:sz w:val="18"/>
            <w:szCs w:val="18"/>
            <w:lang w:val="pt-BR"/>
          </w:rPr>
          <m:t>σ</m:t>
        </m:r>
      </m:oMath>
      <w:r w:rsidR="007570C8" w:rsidRPr="007570C8">
        <w:rPr>
          <w:rFonts w:ascii="Helvetica Neue" w:eastAsia="Helvetica Neue" w:hAnsi="Helvetica Neue" w:cs="Helvetica Neue"/>
          <w:color w:val="000000"/>
          <w:sz w:val="18"/>
          <w:szCs w:val="18"/>
          <w:lang w:val="pt-BR"/>
        </w:rPr>
        <w:t xml:space="preserve"> </w:t>
      </w:r>
      <w:r>
        <w:rPr>
          <w:rFonts w:ascii="Helvetica Neue" w:eastAsia="Helvetica Neue" w:hAnsi="Helvetica Neue" w:cs="Helvetica Neue"/>
          <w:color w:val="000000"/>
          <w:sz w:val="18"/>
          <w:szCs w:val="18"/>
          <w:lang w:val="pt-BR"/>
        </w:rPr>
        <w:t>é o</w:t>
      </w:r>
      <w:r w:rsidR="006A3B43">
        <w:rPr>
          <w:rFonts w:ascii="Helvetica Neue" w:eastAsia="Helvetica Neue" w:hAnsi="Helvetica Neue" w:cs="Helvetica Neue"/>
          <w:color w:val="000000"/>
          <w:sz w:val="18"/>
          <w:szCs w:val="18"/>
          <w:lang w:val="pt-BR"/>
        </w:rPr>
        <w:t xml:space="preserve"> desvio padrão da população e </w:t>
      </w:r>
      <w:r w:rsidR="006A3B43" w:rsidRPr="006A3B43">
        <w:rPr>
          <w:rFonts w:ascii="Helvetica Neue" w:eastAsia="Helvetica Neue" w:hAnsi="Helvetica Neue" w:cs="Helvetica Neue"/>
          <w:i/>
          <w:color w:val="000000"/>
          <w:sz w:val="18"/>
          <w:szCs w:val="18"/>
          <w:lang w:val="pt-BR"/>
        </w:rPr>
        <w:t>Z</w:t>
      </w:r>
      <w:r w:rsidR="006A3B43">
        <w:rPr>
          <w:rFonts w:ascii="Helvetica Neue" w:eastAsia="Helvetica Neue" w:hAnsi="Helvetica Neue" w:cs="Helvetica Neue"/>
          <w:color w:val="000000"/>
          <w:sz w:val="18"/>
          <w:szCs w:val="18"/>
          <w:lang w:val="pt-BR"/>
        </w:rPr>
        <w:t xml:space="preserve"> é o </w:t>
      </w:r>
      <w:r w:rsidR="006A3B43" w:rsidRPr="007570C8">
        <w:rPr>
          <w:rFonts w:ascii="Helvetica Neue" w:eastAsia="Helvetica Neue" w:hAnsi="Helvetica Neue" w:cs="Helvetica Neue"/>
          <w:noProof/>
          <w:color w:val="000000"/>
          <w:sz w:val="18"/>
          <w:szCs w:val="18"/>
          <w:lang w:val="pt-BR"/>
        </w:rPr>
        <w:t>padrão de assertividade</w:t>
      </w:r>
      <w:r w:rsidR="006A3B43">
        <w:rPr>
          <w:rFonts w:ascii="Helvetica Neue" w:eastAsia="Helvetica Neue" w:hAnsi="Helvetica Neue" w:cs="Helvetica Neue"/>
          <w:noProof/>
          <w:color w:val="000000"/>
          <w:sz w:val="18"/>
          <w:szCs w:val="18"/>
          <w:lang w:val="pt-BR"/>
        </w:rPr>
        <w:t>.</w:t>
      </w:r>
    </w:p>
    <w:p w14:paraId="13040BF2" w14:textId="4FB022DF" w:rsidR="00843306" w:rsidRPr="007570C8" w:rsidRDefault="003F0952" w:rsidP="007570C8">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Pr>
          <w:rFonts w:ascii="Helvetica Neue" w:eastAsia="Helvetica Neue" w:hAnsi="Helvetica Neue" w:cs="Helvetica Neue"/>
          <w:color w:val="000000"/>
          <w:sz w:val="18"/>
          <w:szCs w:val="18"/>
          <w:lang w:val="pt-BR"/>
        </w:rPr>
        <w:t>Foi estabelecida uma margem de erro máxima de</w:t>
      </w:r>
      <w:r w:rsidR="007570C8" w:rsidRPr="007570C8">
        <w:rPr>
          <w:rFonts w:ascii="Helvetica Neue" w:eastAsia="Helvetica Neue" w:hAnsi="Helvetica Neue" w:cs="Helvetica Neue"/>
          <w:color w:val="000000"/>
          <w:sz w:val="18"/>
          <w:szCs w:val="18"/>
          <w:lang w:val="pt-BR"/>
        </w:rPr>
        <w:t xml:space="preserve"> 10%</w:t>
      </w:r>
      <w:r>
        <w:rPr>
          <w:rFonts w:ascii="Helvetica Neue" w:eastAsia="Helvetica Neue" w:hAnsi="Helvetica Neue" w:cs="Helvetica Neue"/>
          <w:color w:val="000000"/>
          <w:sz w:val="18"/>
          <w:szCs w:val="18"/>
          <w:lang w:val="pt-BR"/>
        </w:rPr>
        <w:t xml:space="preserve"> para que os resultados sejam aceitáveis e precisos</w:t>
      </w:r>
      <w:r w:rsidR="007570C8" w:rsidRPr="007570C8">
        <w:rPr>
          <w:rFonts w:ascii="Helvetica Neue" w:eastAsia="Helvetica Neue" w:hAnsi="Helvetica Neue" w:cs="Helvetica Neue"/>
          <w:color w:val="000000"/>
          <w:sz w:val="18"/>
          <w:szCs w:val="18"/>
          <w:lang w:val="pt-BR"/>
        </w:rPr>
        <w:t xml:space="preserve">. </w:t>
      </w:r>
    </w:p>
    <w:p w14:paraId="1D4B0EF8" w14:textId="77777777" w:rsidR="00843306" w:rsidRDefault="00D35C45">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638A0194" w14:textId="77777777" w:rsidR="007570C8" w:rsidRPr="007570C8" w:rsidRDefault="007570C8" w:rsidP="00F5721A">
      <w:pPr>
        <w:widowControl w:val="0"/>
        <w:pBdr>
          <w:top w:val="nil"/>
          <w:left w:val="nil"/>
          <w:bottom w:val="nil"/>
          <w:right w:val="nil"/>
          <w:between w:val="nil"/>
        </w:pBdr>
        <w:spacing w:before="240" w:after="240"/>
        <w:ind w:right="142" w:firstLine="142"/>
        <w:rPr>
          <w:rFonts w:ascii="Helvetica Neue" w:eastAsia="Helvetica Neue" w:hAnsi="Helvetica Neue" w:cs="Helvetica Neue"/>
          <w:b/>
          <w:bCs/>
          <w:noProof/>
          <w:color w:val="000000"/>
          <w:sz w:val="18"/>
          <w:szCs w:val="18"/>
          <w:lang w:val="pt-BR"/>
        </w:rPr>
      </w:pPr>
      <w:r w:rsidRPr="007570C8">
        <w:rPr>
          <w:rFonts w:ascii="Helvetica Neue" w:eastAsia="Helvetica Neue" w:hAnsi="Helvetica Neue" w:cs="Helvetica Neue"/>
          <w:b/>
          <w:bCs/>
          <w:noProof/>
          <w:color w:val="000000"/>
          <w:sz w:val="18"/>
          <w:szCs w:val="18"/>
          <w:lang w:val="pt-BR"/>
        </w:rPr>
        <w:t>3.1 População, Amostra, Nível de Confiança e Margem de Erro</w:t>
      </w:r>
    </w:p>
    <w:p w14:paraId="406B8187" w14:textId="77777777" w:rsidR="007570C8" w:rsidRPr="007570C8" w:rsidRDefault="007570C8" w:rsidP="007570C8">
      <w:pPr>
        <w:widowControl w:val="0"/>
        <w:pBdr>
          <w:top w:val="nil"/>
          <w:left w:val="nil"/>
          <w:bottom w:val="nil"/>
          <w:right w:val="nil"/>
          <w:between w:val="nil"/>
        </w:pBdr>
        <w:spacing w:before="240" w:after="240" w:line="288" w:lineRule="auto"/>
        <w:ind w:left="142" w:right="142" w:firstLine="295"/>
        <w:contextualSpacing/>
        <w:jc w:val="both"/>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color w:val="000000"/>
          <w:sz w:val="18"/>
          <w:szCs w:val="18"/>
          <w:lang w:val="en-US"/>
        </w:rPr>
        <w:t xml:space="preserve">Através dos </w:t>
      </w:r>
      <w:r w:rsidRPr="007570C8">
        <w:rPr>
          <w:rFonts w:ascii="Helvetica Neue" w:eastAsia="Helvetica Neue" w:hAnsi="Helvetica Neue" w:cs="Helvetica Neue"/>
          <w:noProof/>
          <w:color w:val="000000"/>
          <w:sz w:val="18"/>
          <w:szCs w:val="18"/>
          <w:lang w:val="pt-BR"/>
        </w:rPr>
        <w:t xml:space="preserve">dados obtidos nas </w:t>
      </w:r>
      <w:r w:rsidRPr="007570C8">
        <w:rPr>
          <w:rFonts w:ascii="Helvetica Neue" w:eastAsia="Helvetica Neue" w:hAnsi="Helvetica Neue" w:cs="Helvetica Neue"/>
          <w:noProof/>
          <w:color w:val="000000"/>
          <w:sz w:val="18"/>
          <w:szCs w:val="18"/>
          <w:lang w:val="en-US"/>
        </w:rPr>
        <w:t>di</w:t>
      </w:r>
      <w:r w:rsidRPr="007570C8">
        <w:rPr>
          <w:rFonts w:ascii="Helvetica Neue" w:eastAsia="Helvetica Neue" w:hAnsi="Helvetica Neue" w:cs="Helvetica Neue"/>
          <w:noProof/>
          <w:color w:val="000000"/>
          <w:sz w:val="18"/>
          <w:szCs w:val="18"/>
          <w:lang w:val="pt-BR"/>
        </w:rPr>
        <w:t xml:space="preserve">reções </w:t>
      </w:r>
      <w:r w:rsidRPr="007570C8">
        <w:rPr>
          <w:rFonts w:ascii="Helvetica Neue" w:eastAsia="Helvetica Neue" w:hAnsi="Helvetica Neue" w:cs="Helvetica Neue"/>
          <w:noProof/>
          <w:color w:val="000000"/>
          <w:sz w:val="18"/>
          <w:szCs w:val="18"/>
          <w:lang w:val="en-US"/>
        </w:rPr>
        <w:t>g</w:t>
      </w:r>
      <w:r w:rsidRPr="007570C8">
        <w:rPr>
          <w:rFonts w:ascii="Helvetica Neue" w:eastAsia="Helvetica Neue" w:hAnsi="Helvetica Neue" w:cs="Helvetica Neue"/>
          <w:noProof/>
          <w:color w:val="000000"/>
          <w:sz w:val="18"/>
          <w:szCs w:val="18"/>
          <w:lang w:val="pt-BR"/>
        </w:rPr>
        <w:t xml:space="preserve">erais das IES participantes do estudo e por meio de matéria jornalística da </w:t>
      </w:r>
      <w:r w:rsidRPr="007570C8">
        <w:rPr>
          <w:rFonts w:ascii="Helvetica Neue" w:eastAsia="Helvetica Neue" w:hAnsi="Helvetica Neue" w:cs="Helvetica Neue"/>
          <w:noProof/>
          <w:color w:val="000000"/>
          <w:sz w:val="18"/>
          <w:szCs w:val="18"/>
          <w:lang w:val="en-US"/>
        </w:rPr>
        <w:lastRenderedPageBreak/>
        <w:t>ci</w:t>
      </w:r>
      <w:r w:rsidRPr="007570C8">
        <w:rPr>
          <w:rFonts w:ascii="Helvetica Neue" w:eastAsia="Helvetica Neue" w:hAnsi="Helvetica Neue" w:cs="Helvetica Neue"/>
          <w:noProof/>
          <w:color w:val="000000"/>
          <w:sz w:val="18"/>
          <w:szCs w:val="18"/>
          <w:lang w:val="pt-BR"/>
        </w:rPr>
        <w:t xml:space="preserve">dade, </w:t>
      </w:r>
      <w:r w:rsidRPr="007570C8">
        <w:rPr>
          <w:rFonts w:ascii="Helvetica Neue" w:eastAsia="Helvetica Neue" w:hAnsi="Helvetica Neue" w:cs="Helvetica Neue"/>
          <w:noProof/>
          <w:color w:val="000000"/>
          <w:sz w:val="18"/>
          <w:szCs w:val="18"/>
          <w:lang w:val="en-US"/>
        </w:rPr>
        <w:t>obteve-se</w:t>
      </w:r>
      <w:r w:rsidRPr="007570C8">
        <w:rPr>
          <w:rFonts w:ascii="Helvetica Neue" w:eastAsia="Helvetica Neue" w:hAnsi="Helvetica Neue" w:cs="Helvetica Neue"/>
          <w:noProof/>
          <w:color w:val="000000"/>
          <w:sz w:val="18"/>
          <w:szCs w:val="18"/>
          <w:lang w:val="pt-BR"/>
        </w:rPr>
        <w:t xml:space="preserve"> uma estimativa</w:t>
      </w:r>
      <w:r w:rsidRPr="007570C8">
        <w:rPr>
          <w:rFonts w:ascii="Helvetica Neue" w:eastAsia="Helvetica Neue" w:hAnsi="Helvetica Neue" w:cs="Helvetica Neue"/>
          <w:noProof/>
          <w:color w:val="000000"/>
          <w:sz w:val="18"/>
          <w:szCs w:val="18"/>
          <w:lang w:val="en-US"/>
        </w:rPr>
        <w:t xml:space="preserve"> da </w:t>
      </w:r>
      <w:r w:rsidRPr="007570C8">
        <w:rPr>
          <w:rFonts w:ascii="Helvetica Neue" w:eastAsia="Helvetica Neue" w:hAnsi="Helvetica Neue" w:cs="Helvetica Neue"/>
          <w:noProof/>
          <w:color w:val="000000"/>
          <w:sz w:val="18"/>
          <w:szCs w:val="18"/>
          <w:lang w:val="pt-BR"/>
        </w:rPr>
        <w:t xml:space="preserve">população de estudantes que somou 8031 alunos, sendo eles: 836 do Instituto Federal de Educação, Ciência e Tecnologia da Paraíba (IFPB); 2042 da Universidade Federal de Campina Grande (UFCG); 3480 da Faculdade Santa Maria (FSM); 923 da Faculdade de Filosofia, Ciências e Letras de Cajazeiras (FAFIC); aproximadamente 750 da Faculdade São Francisco da Paraíba (FASP). </w:t>
      </w:r>
    </w:p>
    <w:p w14:paraId="103DA35F" w14:textId="3D590B50" w:rsidR="007570C8" w:rsidRPr="007570C8" w:rsidRDefault="007570C8" w:rsidP="00170DCB">
      <w:pPr>
        <w:widowControl w:val="0"/>
        <w:pBdr>
          <w:top w:val="nil"/>
          <w:left w:val="nil"/>
          <w:bottom w:val="nil"/>
          <w:right w:val="nil"/>
          <w:between w:val="nil"/>
        </w:pBdr>
        <w:spacing w:line="288" w:lineRule="auto"/>
        <w:ind w:left="142" w:right="142" w:firstLine="295"/>
        <w:contextualSpacing/>
        <w:jc w:val="both"/>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color w:val="000000"/>
          <w:sz w:val="18"/>
          <w:szCs w:val="18"/>
          <w:lang w:val="pt-BR"/>
        </w:rPr>
        <w:t xml:space="preserve">Após os formulários aplicados, foram obtidas 239 respostas válidas, que corresponde a nossa amostra de pesquisa. Com esses dados, o nível de confiança padrão de assertividade utilizado foi de 95% (que é de 1,96) e chegou-se a uma margem de erro de 6%, que está dentro dos padrões de confiabilidade. </w:t>
      </w:r>
    </w:p>
    <w:p w14:paraId="54E36A8B" w14:textId="1C13C7BE" w:rsidR="007570C8" w:rsidRDefault="007570C8" w:rsidP="00170DCB">
      <w:pPr>
        <w:widowControl w:val="0"/>
        <w:pBdr>
          <w:top w:val="nil"/>
          <w:left w:val="nil"/>
          <w:bottom w:val="nil"/>
          <w:right w:val="nil"/>
          <w:between w:val="nil"/>
        </w:pBdr>
        <w:spacing w:before="240" w:after="240"/>
        <w:ind w:right="142" w:firstLine="142"/>
        <w:rPr>
          <w:rFonts w:ascii="Helvetica Neue" w:eastAsia="Helvetica Neue" w:hAnsi="Helvetica Neue" w:cs="Helvetica Neue"/>
          <w:b/>
          <w:bCs/>
          <w:noProof/>
          <w:color w:val="000000"/>
          <w:sz w:val="18"/>
          <w:szCs w:val="18"/>
          <w:lang w:val="pt-BR"/>
        </w:rPr>
      </w:pPr>
      <w:r w:rsidRPr="007570C8">
        <w:rPr>
          <w:rFonts w:ascii="Helvetica Neue" w:eastAsia="Helvetica Neue" w:hAnsi="Helvetica Neue" w:cs="Helvetica Neue"/>
          <w:b/>
          <w:bCs/>
          <w:noProof/>
          <w:color w:val="000000"/>
          <w:sz w:val="18"/>
          <w:szCs w:val="18"/>
          <w:lang w:val="pt-BR"/>
        </w:rPr>
        <w:t>3.2 Da Origem dos Estudantes</w:t>
      </w:r>
    </w:p>
    <w:p w14:paraId="526162A6" w14:textId="5B0E036D" w:rsidR="00E943CB" w:rsidRPr="005A087F" w:rsidRDefault="0040505A" w:rsidP="005A087F">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noProof/>
          <w:color w:val="000000"/>
          <w:sz w:val="18"/>
          <w:szCs w:val="18"/>
          <w:lang w:val="pt-BR"/>
        </w:rPr>
      </w:pPr>
      <w:r>
        <w:rPr>
          <w:rFonts w:ascii="Helvetica Neue" w:eastAsia="Helvetica Neue" w:hAnsi="Helvetica Neue" w:cs="Helvetica Neue"/>
          <w:noProof/>
          <w:color w:val="000000"/>
          <w:sz w:val="18"/>
          <w:szCs w:val="18"/>
          <w:lang w:val="pt-BR"/>
        </w:rPr>
        <w:t>O Gráfico</w:t>
      </w:r>
      <w:r w:rsidR="005A087F" w:rsidRPr="007570C8">
        <w:rPr>
          <w:rFonts w:ascii="Helvetica Neue" w:eastAsia="Helvetica Neue" w:hAnsi="Helvetica Neue" w:cs="Helvetica Neue"/>
          <w:noProof/>
          <w:color w:val="000000"/>
          <w:sz w:val="18"/>
          <w:szCs w:val="18"/>
          <w:lang w:val="pt-BR"/>
        </w:rPr>
        <w:t xml:space="preserve"> 1 mostra </w:t>
      </w:r>
      <w:r>
        <w:rPr>
          <w:rFonts w:ascii="Helvetica Neue" w:eastAsia="Helvetica Neue" w:hAnsi="Helvetica Neue" w:cs="Helvetica Neue"/>
          <w:noProof/>
          <w:color w:val="000000"/>
          <w:sz w:val="18"/>
          <w:szCs w:val="18"/>
          <w:lang w:val="pt-BR"/>
        </w:rPr>
        <w:t>onde os estudantes residem em períodos de aula presencial</w:t>
      </w:r>
      <w:r w:rsidR="005A087F" w:rsidRPr="007570C8">
        <w:rPr>
          <w:rFonts w:ascii="Helvetica Neue" w:eastAsia="Helvetica Neue" w:hAnsi="Helvetica Neue" w:cs="Helvetica Neue"/>
          <w:noProof/>
          <w:color w:val="000000"/>
          <w:sz w:val="18"/>
          <w:szCs w:val="18"/>
          <w:lang w:val="pt-BR"/>
        </w:rPr>
        <w:t>.</w:t>
      </w:r>
    </w:p>
    <w:p w14:paraId="58C47DE5" w14:textId="33B71AF3" w:rsidR="0082736D" w:rsidRDefault="0040505A" w:rsidP="00E943CB">
      <w:pPr>
        <w:widowControl w:val="0"/>
        <w:pBdr>
          <w:top w:val="nil"/>
          <w:left w:val="nil"/>
          <w:bottom w:val="nil"/>
          <w:right w:val="nil"/>
          <w:between w:val="nil"/>
        </w:pBdr>
        <w:spacing w:line="288" w:lineRule="auto"/>
        <w:ind w:left="142" w:right="142" w:firstLine="295"/>
        <w:jc w:val="center"/>
        <w:rPr>
          <w:rFonts w:ascii="Helvetica Neue" w:eastAsia="Helvetica Neue" w:hAnsi="Helvetica Neue" w:cs="Helvetica Neue"/>
          <w:bCs/>
          <w:noProof/>
          <w:color w:val="000000"/>
          <w:sz w:val="18"/>
          <w:szCs w:val="18"/>
          <w:lang w:val="pt-BR"/>
        </w:rPr>
      </w:pPr>
      <w:r>
        <w:rPr>
          <w:noProof/>
        </w:rPr>
        <w:drawing>
          <wp:inline distT="0" distB="0" distL="114300" distR="114300" wp14:anchorId="12919D05" wp14:editId="4C4FC43E">
            <wp:extent cx="5692140" cy="1232647"/>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4930254" w14:textId="74B2CC3F" w:rsidR="00170DCB" w:rsidRDefault="0040505A" w:rsidP="00F5721A">
      <w:pPr>
        <w:widowControl w:val="0"/>
        <w:spacing w:line="288" w:lineRule="auto"/>
        <w:ind w:left="141" w:right="141" w:firstLine="294"/>
        <w:jc w:val="center"/>
        <w:rPr>
          <w:rFonts w:ascii="Helvetica Neue" w:eastAsia="Helvetica Neue" w:hAnsi="Helvetica Neue" w:cs="Helvetica Neue"/>
          <w:noProof/>
          <w:color w:val="000000"/>
          <w:sz w:val="18"/>
          <w:szCs w:val="18"/>
          <w:lang w:val="pt-BR"/>
        </w:rPr>
      </w:pPr>
      <w:r>
        <w:rPr>
          <w:rFonts w:ascii="Helvetica Neue" w:eastAsia="Helvetica Neue" w:hAnsi="Helvetica Neue" w:cs="Helvetica Neue"/>
          <w:noProof/>
          <w:sz w:val="18"/>
          <w:szCs w:val="18"/>
          <w:lang w:val="pt-BR"/>
        </w:rPr>
        <w:t>Gráfico</w:t>
      </w:r>
      <w:r w:rsidR="005A087F" w:rsidRPr="007570C8">
        <w:rPr>
          <w:rFonts w:ascii="Helvetica Neue" w:eastAsia="Helvetica Neue" w:hAnsi="Helvetica Neue" w:cs="Helvetica Neue"/>
          <w:noProof/>
          <w:sz w:val="18"/>
          <w:szCs w:val="18"/>
          <w:lang w:val="pt-BR"/>
        </w:rPr>
        <w:t xml:space="preserve"> 1: </w:t>
      </w:r>
      <w:r>
        <w:rPr>
          <w:rFonts w:ascii="Helvetica Neue" w:eastAsia="Helvetica Neue" w:hAnsi="Helvetica Neue" w:cs="Helvetica Neue"/>
          <w:noProof/>
          <w:color w:val="000000"/>
          <w:sz w:val="18"/>
          <w:szCs w:val="18"/>
          <w:lang w:val="pt-BR"/>
        </w:rPr>
        <w:t>onde os estudantes residem em períodos de aula presencial</w:t>
      </w:r>
      <w:r w:rsidR="005A087F" w:rsidRPr="007570C8">
        <w:rPr>
          <w:rFonts w:ascii="Helvetica Neue" w:eastAsia="Helvetica Neue" w:hAnsi="Helvetica Neue" w:cs="Helvetica Neue"/>
          <w:noProof/>
          <w:color w:val="000000"/>
          <w:sz w:val="18"/>
          <w:szCs w:val="18"/>
          <w:lang w:val="pt-BR"/>
        </w:rPr>
        <w:t>.</w:t>
      </w:r>
    </w:p>
    <w:p w14:paraId="0A527138" w14:textId="77777777" w:rsidR="00F5721A" w:rsidRPr="00F5721A" w:rsidRDefault="00F5721A" w:rsidP="00F5721A">
      <w:pPr>
        <w:widowControl w:val="0"/>
        <w:spacing w:line="288" w:lineRule="auto"/>
        <w:ind w:left="141" w:right="141" w:firstLine="294"/>
        <w:jc w:val="center"/>
        <w:rPr>
          <w:rFonts w:ascii="Helvetica Neue" w:eastAsia="Helvetica Neue" w:hAnsi="Helvetica Neue" w:cs="Helvetica Neue"/>
          <w:noProof/>
          <w:color w:val="000000"/>
          <w:sz w:val="18"/>
          <w:szCs w:val="18"/>
          <w:lang w:val="pt-BR"/>
        </w:rPr>
      </w:pPr>
    </w:p>
    <w:p w14:paraId="337B3847" w14:textId="22B0BD4F" w:rsidR="007570C8" w:rsidRPr="007570C8" w:rsidRDefault="00A33958" w:rsidP="00752DB5">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noProof/>
          <w:color w:val="000000"/>
          <w:sz w:val="18"/>
          <w:szCs w:val="18"/>
          <w:lang w:val="pt-BR"/>
        </w:rPr>
      </w:pPr>
      <w:r>
        <w:rPr>
          <w:rFonts w:ascii="Helvetica Neue" w:eastAsia="Helvetica Neue" w:hAnsi="Helvetica Neue" w:cs="Helvetica Neue"/>
          <w:bCs/>
          <w:noProof/>
          <w:color w:val="000000"/>
          <w:sz w:val="18"/>
          <w:szCs w:val="18"/>
          <w:lang w:val="pt-BR"/>
        </w:rPr>
        <w:t>É</w:t>
      </w:r>
      <w:r w:rsidR="007570C8" w:rsidRPr="0082736D">
        <w:rPr>
          <w:rFonts w:ascii="Helvetica Neue" w:eastAsia="Helvetica Neue" w:hAnsi="Helvetica Neue" w:cs="Helvetica Neue"/>
          <w:noProof/>
          <w:color w:val="000000"/>
          <w:sz w:val="18"/>
          <w:szCs w:val="18"/>
          <w:lang w:val="pt-BR"/>
        </w:rPr>
        <w:t xml:space="preserve"> possível observar que as IES particulares atraem mais estudantes de outros municípios do que as públicas. E, dos que declararam morar em Cajazeiras, outro dado foi relevante</w:t>
      </w:r>
      <w:r w:rsidR="007570C8" w:rsidRPr="0082736D">
        <w:rPr>
          <w:rFonts w:ascii="Helvetica Neue" w:eastAsia="Helvetica Neue" w:hAnsi="Helvetica Neue" w:cs="Helvetica Neue"/>
          <w:noProof/>
          <w:color w:val="000000"/>
          <w:sz w:val="18"/>
          <w:szCs w:val="18"/>
          <w:lang w:val="en-US"/>
        </w:rPr>
        <w:t xml:space="preserve">: </w:t>
      </w:r>
      <w:r w:rsidR="007570C8" w:rsidRPr="0082736D">
        <w:rPr>
          <w:rFonts w:ascii="Helvetica Neue" w:eastAsia="Helvetica Neue" w:hAnsi="Helvetica Neue" w:cs="Helvetica Neue"/>
          <w:noProof/>
          <w:color w:val="000000"/>
          <w:sz w:val="18"/>
          <w:szCs w:val="18"/>
          <w:lang w:val="pt-BR"/>
        </w:rPr>
        <w:t>48,76% afirmaram que se mudaram para a cidade apenas por motivos de estudo</w:t>
      </w:r>
      <w:r w:rsidR="00170DCB">
        <w:rPr>
          <w:rFonts w:ascii="Helvetica Neue" w:eastAsia="Helvetica Neue" w:hAnsi="Helvetica Neue" w:cs="Helvetica Neue"/>
          <w:noProof/>
          <w:color w:val="000000"/>
          <w:sz w:val="18"/>
          <w:szCs w:val="18"/>
          <w:lang w:val="pt-BR"/>
        </w:rPr>
        <w:t>. Ou seja, a maior parte dos alunos de Cajazeiras não são naturais da cidade.</w:t>
      </w:r>
      <w:r w:rsidR="007570C8" w:rsidRPr="007570C8">
        <w:rPr>
          <w:rFonts w:ascii="Helvetica Neue" w:eastAsia="Helvetica Neue" w:hAnsi="Helvetica Neue" w:cs="Helvetica Neue"/>
          <w:noProof/>
          <w:color w:val="000000"/>
          <w:sz w:val="18"/>
          <w:szCs w:val="18"/>
          <w:lang w:val="pt-BR"/>
        </w:rPr>
        <w:t xml:space="preserve"> </w:t>
      </w:r>
    </w:p>
    <w:p w14:paraId="192AD735" w14:textId="69B68408" w:rsidR="007570C8" w:rsidRPr="005A087F" w:rsidRDefault="007570C8" w:rsidP="00752DB5">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sz w:val="18"/>
          <w:szCs w:val="18"/>
          <w:lang w:val="pt-BR"/>
        </w:rPr>
      </w:pPr>
      <w:r w:rsidRPr="007570C8">
        <w:rPr>
          <w:rFonts w:ascii="Helvetica Neue" w:eastAsia="Helvetica Neue" w:hAnsi="Helvetica Neue" w:cs="Helvetica Neue"/>
          <w:color w:val="000000"/>
          <w:sz w:val="18"/>
          <w:szCs w:val="18"/>
          <w:lang w:val="pt-BR"/>
        </w:rPr>
        <w:t>Sobre os tipos de migração, das respostas válidas</w:t>
      </w:r>
      <w:r w:rsidR="005A087F" w:rsidRPr="005A087F">
        <w:rPr>
          <w:rFonts w:ascii="Helvetica Neue" w:eastAsia="Helvetica Neue" w:hAnsi="Helvetica Neue" w:cs="Helvetica Neue"/>
          <w:color w:val="000000"/>
          <w:sz w:val="18"/>
          <w:szCs w:val="18"/>
          <w:lang w:val="pt-BR"/>
        </w:rPr>
        <w:t>,</w:t>
      </w:r>
      <w:r w:rsidR="005A087F">
        <w:rPr>
          <w:rFonts w:ascii="Helvetica Neue" w:eastAsia="Helvetica Neue" w:hAnsi="Helvetica Neue" w:cs="Helvetica Neue"/>
          <w:color w:val="000000"/>
          <w:sz w:val="18"/>
          <w:szCs w:val="18"/>
          <w:lang w:val="pt-BR"/>
        </w:rPr>
        <w:t xml:space="preserve"> </w:t>
      </w:r>
      <w:r w:rsidRPr="005A087F">
        <w:rPr>
          <w:rFonts w:ascii="Helvetica Neue" w:eastAsia="Helvetica Neue" w:hAnsi="Helvetica Neue" w:cs="Helvetica Neue"/>
          <w:color w:val="000000"/>
          <w:sz w:val="18"/>
          <w:szCs w:val="18"/>
          <w:lang w:val="pt-BR"/>
        </w:rPr>
        <w:t>1</w:t>
      </w:r>
      <w:r w:rsidRPr="007570C8">
        <w:rPr>
          <w:rFonts w:ascii="Helvetica Neue" w:eastAsia="Helvetica Neue" w:hAnsi="Helvetica Neue" w:cs="Helvetica Neue"/>
          <w:color w:val="000000"/>
          <w:sz w:val="18"/>
          <w:szCs w:val="18"/>
          <w:lang w:val="pt-BR"/>
        </w:rPr>
        <w:t xml:space="preserve">18 </w:t>
      </w:r>
      <w:r w:rsidRPr="005A087F">
        <w:rPr>
          <w:rFonts w:ascii="Helvetica Neue" w:eastAsia="Helvetica Neue" w:hAnsi="Helvetica Neue" w:cs="Helvetica Neue"/>
          <w:color w:val="000000"/>
          <w:sz w:val="18"/>
          <w:szCs w:val="18"/>
          <w:lang w:val="pt-BR"/>
        </w:rPr>
        <w:t xml:space="preserve">se comportam como </w:t>
      </w:r>
      <w:r w:rsidRPr="007570C8">
        <w:rPr>
          <w:rFonts w:ascii="Helvetica Neue" w:eastAsia="Helvetica Neue" w:hAnsi="Helvetica Neue" w:cs="Helvetica Neue"/>
          <w:color w:val="000000"/>
          <w:sz w:val="18"/>
          <w:szCs w:val="18"/>
          <w:lang w:val="pt-BR"/>
        </w:rPr>
        <w:t>migração pendular e 59 como migração sazona</w:t>
      </w:r>
      <w:r w:rsidRPr="005A087F">
        <w:rPr>
          <w:rFonts w:ascii="Helvetica Neue" w:eastAsia="Helvetica Neue" w:hAnsi="Helvetica Neue" w:cs="Helvetica Neue"/>
          <w:color w:val="000000"/>
          <w:sz w:val="18"/>
          <w:szCs w:val="18"/>
          <w:lang w:val="pt-BR"/>
        </w:rPr>
        <w:t>l</w:t>
      </w:r>
      <w:r w:rsidRPr="007570C8">
        <w:rPr>
          <w:rFonts w:ascii="Helvetica Neue" w:eastAsia="Helvetica Neue" w:hAnsi="Helvetica Neue" w:cs="Helvetica Neue"/>
          <w:color w:val="000000"/>
          <w:sz w:val="18"/>
          <w:szCs w:val="18"/>
          <w:lang w:val="pt-BR"/>
        </w:rPr>
        <w:t xml:space="preserve">. </w:t>
      </w:r>
      <w:r w:rsidR="005A087F">
        <w:rPr>
          <w:rFonts w:ascii="Helvetica Neue" w:eastAsia="Helvetica Neue" w:hAnsi="Helvetica Neue" w:cs="Helvetica Neue"/>
          <w:color w:val="000000"/>
          <w:sz w:val="18"/>
          <w:szCs w:val="18"/>
          <w:lang w:val="pt-BR"/>
        </w:rPr>
        <w:t>E</w:t>
      </w:r>
      <w:r w:rsidRPr="007570C8">
        <w:rPr>
          <w:rFonts w:ascii="Helvetica Neue" w:eastAsia="Helvetica Neue" w:hAnsi="Helvetica Neue" w:cs="Helvetica Neue"/>
          <w:color w:val="000000"/>
          <w:sz w:val="18"/>
          <w:szCs w:val="18"/>
          <w:lang w:val="pt-BR"/>
        </w:rPr>
        <w:t xml:space="preserve">studantes que realizam migrações sazonais têm períodos de retorno que </w:t>
      </w:r>
      <w:r w:rsidR="005A087F">
        <w:rPr>
          <w:rFonts w:ascii="Helvetica Neue" w:eastAsia="Helvetica Neue" w:hAnsi="Helvetica Neue" w:cs="Helvetica Neue"/>
          <w:color w:val="000000"/>
          <w:sz w:val="18"/>
          <w:szCs w:val="18"/>
          <w:lang w:val="pt-BR"/>
        </w:rPr>
        <w:t xml:space="preserve">variam </w:t>
      </w:r>
      <w:r w:rsidRPr="007570C8">
        <w:rPr>
          <w:rFonts w:ascii="Helvetica Neue" w:eastAsia="Helvetica Neue" w:hAnsi="Helvetica Neue" w:cs="Helvetica Neue"/>
          <w:color w:val="000000"/>
          <w:sz w:val="18"/>
          <w:szCs w:val="18"/>
          <w:lang w:val="pt-BR"/>
        </w:rPr>
        <w:t xml:space="preserve">de uma vez por semana a uma vez por semestre, enquanto que os por migrações pendulares, retornam às suas cidades </w:t>
      </w:r>
      <w:r w:rsidR="005A087F">
        <w:rPr>
          <w:rFonts w:ascii="Helvetica Neue" w:eastAsia="Helvetica Neue" w:hAnsi="Helvetica Neue" w:cs="Helvetica Neue"/>
          <w:color w:val="000000"/>
          <w:sz w:val="18"/>
          <w:szCs w:val="18"/>
          <w:lang w:val="pt-BR"/>
        </w:rPr>
        <w:t>diariamente</w:t>
      </w:r>
      <w:r w:rsidRPr="007570C8">
        <w:rPr>
          <w:rFonts w:ascii="Helvetica Neue" w:eastAsia="Helvetica Neue" w:hAnsi="Helvetica Neue" w:cs="Helvetica Neue"/>
          <w:color w:val="000000"/>
          <w:sz w:val="18"/>
          <w:szCs w:val="18"/>
          <w:lang w:val="pt-BR"/>
        </w:rPr>
        <w:t>.</w:t>
      </w:r>
    </w:p>
    <w:p w14:paraId="1B8ED6CF" w14:textId="77777777" w:rsidR="007570C8" w:rsidRPr="007570C8" w:rsidRDefault="007570C8" w:rsidP="00752DB5">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color w:val="000000"/>
          <w:sz w:val="18"/>
          <w:szCs w:val="18"/>
          <w:lang w:val="en-US"/>
        </w:rPr>
        <w:t xml:space="preserve">Além disso, a maioria dos alunos que migram para Cajazeiras são de cidades circunvizinhas no Nordeste. </w:t>
      </w:r>
      <w:r w:rsidRPr="007570C8">
        <w:rPr>
          <w:rFonts w:ascii="Helvetica Neue" w:eastAsia="Helvetica Neue" w:hAnsi="Helvetica Neue" w:cs="Helvetica Neue"/>
          <w:noProof/>
          <w:color w:val="000000"/>
          <w:sz w:val="18"/>
          <w:szCs w:val="18"/>
          <w:lang w:val="pt-BR"/>
        </w:rPr>
        <w:t>Analisando os municípios dos que migram sazonalmente e dos que optam pelas migrações pendulares, pode-se notar que a distância entre suas cidades natais e Cajazeiras é um fator decisivo. Normalmente</w:t>
      </w:r>
      <w:r w:rsidRPr="007570C8">
        <w:rPr>
          <w:rFonts w:ascii="Helvetica Neue" w:eastAsia="Helvetica Neue" w:hAnsi="Helvetica Neue" w:cs="Helvetica Neue"/>
          <w:noProof/>
          <w:color w:val="000000"/>
          <w:sz w:val="18"/>
          <w:szCs w:val="18"/>
          <w:lang w:val="en-US"/>
        </w:rPr>
        <w:t>,</w:t>
      </w:r>
      <w:r w:rsidRPr="007570C8">
        <w:rPr>
          <w:rFonts w:ascii="Helvetica Neue" w:eastAsia="Helvetica Neue" w:hAnsi="Helvetica Neue" w:cs="Helvetica Neue"/>
          <w:noProof/>
          <w:color w:val="000000"/>
          <w:sz w:val="18"/>
          <w:szCs w:val="18"/>
          <w:lang w:val="pt-BR"/>
        </w:rPr>
        <w:t xml:space="preserve"> os de municípios mais distantes são os que optam pela sazonalidad</w:t>
      </w:r>
      <w:r w:rsidRPr="007570C8">
        <w:rPr>
          <w:rFonts w:ascii="Helvetica Neue" w:eastAsia="Helvetica Neue" w:hAnsi="Helvetica Neue" w:cs="Helvetica Neue"/>
          <w:noProof/>
          <w:color w:val="000000"/>
          <w:sz w:val="18"/>
          <w:szCs w:val="18"/>
          <w:lang w:val="en-US"/>
        </w:rPr>
        <w:t>e, como mostram os mapas da Figura 1 e 2.</w:t>
      </w:r>
    </w:p>
    <w:p w14:paraId="51D392C6" w14:textId="77777777" w:rsidR="007570C8" w:rsidRPr="007570C8" w:rsidRDefault="007570C8" w:rsidP="007570C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color w:val="000000"/>
          <w:sz w:val="18"/>
          <w:szCs w:val="18"/>
          <w:lang w:val="pt-BR"/>
        </w:rPr>
        <w:t>A Figura 1 mostra o mapa dos estudantes que optam por ir e vir todos os dias: raio de 85km.</w:t>
      </w:r>
    </w:p>
    <w:p w14:paraId="3CB28C06" w14:textId="77777777" w:rsidR="007570C8" w:rsidRPr="007570C8" w:rsidRDefault="007570C8" w:rsidP="007570C8">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color w:val="000000"/>
          <w:sz w:val="18"/>
          <w:szCs w:val="18"/>
          <w:lang w:val="pt-BR"/>
        </w:rPr>
        <w:drawing>
          <wp:inline distT="0" distB="0" distL="0" distR="0" wp14:anchorId="295833A3" wp14:editId="2FF9A9F7">
            <wp:extent cx="4518660" cy="16078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785951" cy="1702927"/>
                    </a:xfrm>
                    <a:prstGeom prst="rect">
                      <a:avLst/>
                    </a:prstGeom>
                    <a:ln>
                      <a:noFill/>
                    </a:ln>
                    <a:extLst>
                      <a:ext uri="{53640926-AAD7-44D8-BBD7-CCE9431645EC}">
                        <a14:shadowObscured xmlns:a14="http://schemas.microsoft.com/office/drawing/2010/main"/>
                      </a:ext>
                    </a:extLst>
                  </pic:spPr>
                </pic:pic>
              </a:graphicData>
            </a:graphic>
          </wp:inline>
        </w:drawing>
      </w:r>
    </w:p>
    <w:p w14:paraId="28B290B5" w14:textId="77777777" w:rsidR="007570C8" w:rsidRPr="007570C8" w:rsidRDefault="007570C8" w:rsidP="007570C8">
      <w:pPr>
        <w:widowControl w:val="0"/>
        <w:spacing w:line="288" w:lineRule="auto"/>
        <w:ind w:left="141" w:right="141" w:firstLine="294"/>
        <w:jc w:val="center"/>
        <w:rPr>
          <w:rFonts w:ascii="Helvetica Neue" w:eastAsia="Helvetica Neue" w:hAnsi="Helvetica Neue" w:cs="Helvetica Neue"/>
          <w:noProof/>
          <w:sz w:val="18"/>
          <w:szCs w:val="18"/>
          <w:lang w:val="pt-BR"/>
        </w:rPr>
      </w:pPr>
      <w:r w:rsidRPr="007570C8">
        <w:rPr>
          <w:rFonts w:ascii="Helvetica Neue" w:eastAsia="Helvetica Neue" w:hAnsi="Helvetica Neue" w:cs="Helvetica Neue"/>
          <w:noProof/>
          <w:sz w:val="18"/>
          <w:szCs w:val="18"/>
          <w:lang w:val="pt-BR"/>
        </w:rPr>
        <w:t xml:space="preserve">Figura 1: </w:t>
      </w:r>
      <w:r w:rsidRPr="007570C8">
        <w:rPr>
          <w:rFonts w:ascii="Helvetica Neue" w:eastAsia="Helvetica Neue" w:hAnsi="Helvetica Neue" w:cs="Helvetica Neue"/>
          <w:noProof/>
          <w:color w:val="000000"/>
          <w:sz w:val="18"/>
          <w:szCs w:val="18"/>
          <w:lang w:val="pt-BR"/>
        </w:rPr>
        <w:t>mapa dos estudantes que optam por ir e vir todos os dias: raio de 85km.</w:t>
      </w:r>
    </w:p>
    <w:p w14:paraId="65663104" w14:textId="77777777" w:rsidR="007570C8" w:rsidRPr="007570C8" w:rsidRDefault="007570C8" w:rsidP="007570C8">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noProof/>
          <w:color w:val="000000"/>
          <w:sz w:val="18"/>
          <w:szCs w:val="18"/>
          <w:lang w:val="pt-BR"/>
        </w:rPr>
      </w:pPr>
    </w:p>
    <w:p w14:paraId="1C734850" w14:textId="77777777" w:rsidR="007570C8" w:rsidRPr="007570C8" w:rsidRDefault="007570C8" w:rsidP="007570C8">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color w:val="000000"/>
          <w:sz w:val="18"/>
          <w:szCs w:val="18"/>
          <w:lang w:val="pt-BR"/>
        </w:rPr>
        <w:t>A Figura 2 mostra o mapa dos estudantes que optam por se mudar para Cajazeiras: raio de 410km.</w:t>
      </w:r>
    </w:p>
    <w:p w14:paraId="0DA9E115" w14:textId="77777777" w:rsidR="007570C8" w:rsidRPr="007570C8" w:rsidRDefault="007570C8" w:rsidP="007570C8">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color w:val="000000"/>
          <w:sz w:val="18"/>
          <w:szCs w:val="18"/>
          <w:lang w:val="pt-BR"/>
        </w:rPr>
        <w:drawing>
          <wp:inline distT="0" distB="0" distL="0" distR="0" wp14:anchorId="2078275B" wp14:editId="6FDA0254">
            <wp:extent cx="4889068" cy="1432560"/>
            <wp:effectExtent l="0" t="0" r="698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160451" cy="1512079"/>
                    </a:xfrm>
                    <a:prstGeom prst="rect">
                      <a:avLst/>
                    </a:prstGeom>
                    <a:ln>
                      <a:noFill/>
                    </a:ln>
                    <a:extLst>
                      <a:ext uri="{53640926-AAD7-44D8-BBD7-CCE9431645EC}">
                        <a14:shadowObscured xmlns:a14="http://schemas.microsoft.com/office/drawing/2010/main"/>
                      </a:ext>
                    </a:extLst>
                  </pic:spPr>
                </pic:pic>
              </a:graphicData>
            </a:graphic>
          </wp:inline>
        </w:drawing>
      </w:r>
    </w:p>
    <w:p w14:paraId="515E9AC3" w14:textId="5F80627C" w:rsidR="007570C8" w:rsidRPr="007570C8" w:rsidRDefault="007570C8" w:rsidP="00170DCB">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sz w:val="18"/>
          <w:szCs w:val="18"/>
          <w:lang w:val="pt-BR"/>
        </w:rPr>
        <w:t xml:space="preserve">Figura 2: </w:t>
      </w:r>
      <w:r w:rsidRPr="007570C8">
        <w:rPr>
          <w:rFonts w:ascii="Helvetica Neue" w:eastAsia="Helvetica Neue" w:hAnsi="Helvetica Neue" w:cs="Helvetica Neue"/>
          <w:noProof/>
          <w:color w:val="000000"/>
          <w:sz w:val="18"/>
          <w:szCs w:val="18"/>
          <w:lang w:val="pt-BR"/>
        </w:rPr>
        <w:t>mapa dos estudantes que optam por se mudar para Cajazeiras: raio de 410km.</w:t>
      </w:r>
    </w:p>
    <w:p w14:paraId="57FD856D" w14:textId="6DF8090E" w:rsidR="007570C8" w:rsidRPr="007570C8" w:rsidRDefault="007570C8" w:rsidP="00170DCB">
      <w:pPr>
        <w:widowControl w:val="0"/>
        <w:pBdr>
          <w:top w:val="nil"/>
          <w:left w:val="nil"/>
          <w:bottom w:val="nil"/>
          <w:right w:val="nil"/>
          <w:between w:val="nil"/>
        </w:pBdr>
        <w:spacing w:before="240" w:after="240" w:line="288" w:lineRule="auto"/>
        <w:ind w:right="142" w:firstLine="142"/>
        <w:rPr>
          <w:rFonts w:ascii="Helvetica Neue" w:eastAsia="Helvetica Neue" w:hAnsi="Helvetica Neue" w:cs="Helvetica Neue"/>
          <w:b/>
          <w:bCs/>
          <w:noProof/>
          <w:color w:val="000000"/>
          <w:sz w:val="18"/>
          <w:szCs w:val="18"/>
          <w:lang w:val="pt-BR"/>
        </w:rPr>
      </w:pPr>
      <w:r w:rsidRPr="007570C8">
        <w:rPr>
          <w:rFonts w:ascii="Helvetica Neue" w:eastAsia="Helvetica Neue" w:hAnsi="Helvetica Neue" w:cs="Helvetica Neue"/>
          <w:b/>
          <w:bCs/>
          <w:noProof/>
          <w:color w:val="000000"/>
          <w:sz w:val="18"/>
          <w:szCs w:val="18"/>
          <w:lang w:val="pt-BR"/>
        </w:rPr>
        <w:lastRenderedPageBreak/>
        <w:t xml:space="preserve">3.3 Meios </w:t>
      </w:r>
      <w:r w:rsidRPr="00170DCB">
        <w:rPr>
          <w:rFonts w:ascii="Helvetica Neue" w:eastAsia="Helvetica Neue" w:hAnsi="Helvetica Neue" w:cs="Helvetica Neue"/>
          <w:b/>
          <w:color w:val="000000"/>
          <w:sz w:val="18"/>
          <w:szCs w:val="18"/>
        </w:rPr>
        <w:t>de Transporte, Quantidade</w:t>
      </w:r>
      <w:r w:rsidRPr="007570C8">
        <w:rPr>
          <w:rFonts w:ascii="Helvetica Neue" w:eastAsia="Helvetica Neue" w:hAnsi="Helvetica Neue" w:cs="Helvetica Neue"/>
          <w:b/>
          <w:bCs/>
          <w:noProof/>
          <w:color w:val="000000"/>
          <w:sz w:val="18"/>
          <w:szCs w:val="18"/>
          <w:lang w:val="pt-BR"/>
        </w:rPr>
        <w:t xml:space="preserve"> e Duração das Viagens</w:t>
      </w:r>
    </w:p>
    <w:p w14:paraId="33F49019" w14:textId="77777777" w:rsidR="007570C8" w:rsidRPr="007570C8" w:rsidRDefault="007570C8" w:rsidP="007570C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color w:val="000000"/>
          <w:sz w:val="18"/>
          <w:szCs w:val="18"/>
          <w:lang w:val="pt-BR"/>
        </w:rPr>
        <w:t xml:space="preserve">Geograficamente, há uma característica que torna alguns resultados do </w:t>
      </w:r>
      <w:r w:rsidRPr="007570C8">
        <w:rPr>
          <w:rFonts w:ascii="Helvetica Neue" w:eastAsia="Helvetica Neue" w:hAnsi="Helvetica Neue" w:cs="Helvetica Neue"/>
          <w:noProof/>
          <w:color w:val="000000"/>
          <w:sz w:val="18"/>
          <w:szCs w:val="18"/>
          <w:lang w:val="en-US"/>
        </w:rPr>
        <w:t>f</w:t>
      </w:r>
      <w:r w:rsidRPr="007570C8">
        <w:rPr>
          <w:rFonts w:ascii="Helvetica Neue" w:eastAsia="Helvetica Neue" w:hAnsi="Helvetica Neue" w:cs="Helvetica Neue"/>
          <w:noProof/>
          <w:color w:val="000000"/>
          <w:sz w:val="18"/>
          <w:szCs w:val="18"/>
          <w:lang w:val="pt-BR"/>
        </w:rPr>
        <w:t xml:space="preserve">ormulário um tanto quanto previsíveis. Enquanto as duas IES Públicas se localizam no meio urbano, as duas maiores IES </w:t>
      </w:r>
      <w:r w:rsidRPr="007570C8">
        <w:rPr>
          <w:rFonts w:ascii="Helvetica Neue" w:eastAsia="Helvetica Neue" w:hAnsi="Helvetica Neue" w:cs="Helvetica Neue"/>
          <w:noProof/>
          <w:color w:val="000000"/>
          <w:sz w:val="18"/>
          <w:szCs w:val="18"/>
          <w:lang w:val="en-US"/>
        </w:rPr>
        <w:t>p</w:t>
      </w:r>
      <w:r w:rsidRPr="007570C8">
        <w:rPr>
          <w:rFonts w:ascii="Helvetica Neue" w:eastAsia="Helvetica Neue" w:hAnsi="Helvetica Neue" w:cs="Helvetica Neue"/>
          <w:noProof/>
          <w:color w:val="000000"/>
          <w:sz w:val="18"/>
          <w:szCs w:val="18"/>
          <w:lang w:val="pt-BR"/>
        </w:rPr>
        <w:t xml:space="preserve">articulares ficam </w:t>
      </w:r>
      <w:r w:rsidRPr="007570C8">
        <w:rPr>
          <w:rFonts w:ascii="Helvetica Neue" w:eastAsia="Helvetica Neue" w:hAnsi="Helvetica Neue" w:cs="Helvetica Neue"/>
          <w:noProof/>
          <w:color w:val="000000"/>
          <w:sz w:val="18"/>
          <w:szCs w:val="18"/>
          <w:lang w:val="en-US"/>
        </w:rPr>
        <w:t xml:space="preserve">localizadas </w:t>
      </w:r>
      <w:r w:rsidRPr="007570C8">
        <w:rPr>
          <w:rFonts w:ascii="Helvetica Neue" w:eastAsia="Helvetica Neue" w:hAnsi="Helvetica Neue" w:cs="Helvetica Neue"/>
          <w:noProof/>
          <w:color w:val="000000"/>
          <w:sz w:val="18"/>
          <w:szCs w:val="18"/>
          <w:lang w:val="pt-BR"/>
        </w:rPr>
        <w:t>na BR. Com essa condição evidenciada, é possível prever que a quantidade de pessoas que vão a pé para a IES será maior nas públicas. E</w:t>
      </w:r>
      <w:r w:rsidRPr="007570C8">
        <w:rPr>
          <w:rFonts w:ascii="Helvetica Neue" w:eastAsia="Helvetica Neue" w:hAnsi="Helvetica Neue" w:cs="Helvetica Neue"/>
          <w:noProof/>
          <w:color w:val="000000"/>
          <w:sz w:val="18"/>
          <w:szCs w:val="18"/>
          <w:lang w:val="en-US"/>
        </w:rPr>
        <w:t xml:space="preserve">, </w:t>
      </w:r>
      <w:r w:rsidRPr="007570C8">
        <w:rPr>
          <w:rFonts w:ascii="Helvetica Neue" w:eastAsia="Helvetica Neue" w:hAnsi="Helvetica Neue" w:cs="Helvetica Neue"/>
          <w:noProof/>
          <w:color w:val="000000"/>
          <w:sz w:val="18"/>
          <w:szCs w:val="18"/>
          <w:lang w:val="pt-BR"/>
        </w:rPr>
        <w:t>isso</w:t>
      </w:r>
      <w:r w:rsidRPr="007570C8">
        <w:rPr>
          <w:rFonts w:ascii="Helvetica Neue" w:eastAsia="Helvetica Neue" w:hAnsi="Helvetica Neue" w:cs="Helvetica Neue"/>
          <w:noProof/>
          <w:color w:val="000000"/>
          <w:sz w:val="18"/>
          <w:szCs w:val="18"/>
          <w:lang w:val="en-US"/>
        </w:rPr>
        <w:t xml:space="preserve">, </w:t>
      </w:r>
      <w:r w:rsidRPr="007570C8">
        <w:rPr>
          <w:rFonts w:ascii="Helvetica Neue" w:eastAsia="Helvetica Neue" w:hAnsi="Helvetica Neue" w:cs="Helvetica Neue"/>
          <w:noProof/>
          <w:color w:val="000000"/>
          <w:sz w:val="18"/>
          <w:szCs w:val="18"/>
          <w:lang w:val="pt-BR"/>
        </w:rPr>
        <w:t>não necessariamente terá significado financeiro.</w:t>
      </w:r>
    </w:p>
    <w:p w14:paraId="2EAC87F6" w14:textId="40A0D2E9" w:rsidR="007570C8" w:rsidRPr="007570C8" w:rsidRDefault="00E943CB" w:rsidP="00E943C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noProof/>
          <w:color w:val="000000"/>
          <w:sz w:val="18"/>
          <w:szCs w:val="18"/>
          <w:lang w:val="pt-BR"/>
        </w:rPr>
      </w:pPr>
      <w:r w:rsidRPr="00386CEC">
        <w:rPr>
          <w:rFonts w:ascii="Helvetica Neue" w:eastAsia="Helvetica Neue" w:hAnsi="Helvetica Neue" w:cs="Helvetica Neue"/>
          <w:noProof/>
          <w:color w:val="000000"/>
          <w:sz w:val="18"/>
          <w:szCs w:val="18"/>
          <w:lang w:val="pt-BR"/>
        </w:rPr>
        <w:t xml:space="preserve">Ao analisar e comparar os dados, </w:t>
      </w:r>
      <w:r w:rsidR="00BD743B" w:rsidRPr="00386CEC">
        <w:rPr>
          <w:rFonts w:ascii="Helvetica Neue" w:eastAsia="Helvetica Neue" w:hAnsi="Helvetica Neue" w:cs="Helvetica Neue"/>
          <w:noProof/>
          <w:color w:val="000000"/>
          <w:sz w:val="18"/>
          <w:szCs w:val="18"/>
          <w:lang w:val="pt-BR"/>
        </w:rPr>
        <w:t>foi</w:t>
      </w:r>
      <w:r w:rsidRPr="00386CEC">
        <w:rPr>
          <w:rFonts w:ascii="Helvetica Neue" w:eastAsia="Helvetica Neue" w:hAnsi="Helvetica Neue" w:cs="Helvetica Neue"/>
          <w:noProof/>
          <w:color w:val="000000"/>
          <w:sz w:val="18"/>
          <w:szCs w:val="18"/>
          <w:lang w:val="pt-BR"/>
        </w:rPr>
        <w:t xml:space="preserve"> possível perceber que há uma diferença relevante em relação aos transportes utilizados pelos alunos </w:t>
      </w:r>
      <w:r w:rsidR="00BD743B" w:rsidRPr="00386CEC">
        <w:rPr>
          <w:rFonts w:ascii="Helvetica Neue" w:eastAsia="Helvetica Neue" w:hAnsi="Helvetica Neue" w:cs="Helvetica Neue"/>
          <w:noProof/>
          <w:color w:val="000000"/>
          <w:sz w:val="18"/>
          <w:szCs w:val="18"/>
          <w:lang w:val="pt-BR"/>
        </w:rPr>
        <w:t>que residem na cidade e os que não</w:t>
      </w:r>
      <w:r w:rsidRPr="00386CEC">
        <w:rPr>
          <w:rFonts w:ascii="Helvetica Neue" w:eastAsia="Helvetica Neue" w:hAnsi="Helvetica Neue" w:cs="Helvetica Neue"/>
          <w:noProof/>
          <w:color w:val="000000"/>
          <w:sz w:val="18"/>
          <w:szCs w:val="18"/>
          <w:lang w:val="pt-BR"/>
        </w:rPr>
        <w:t xml:space="preserve">. </w:t>
      </w:r>
      <w:r w:rsidR="007570C8" w:rsidRPr="00386CEC">
        <w:rPr>
          <w:rFonts w:ascii="Helvetica Neue" w:eastAsia="Helvetica Neue" w:hAnsi="Helvetica Neue" w:cs="Helvetica Neue"/>
          <w:noProof/>
          <w:color w:val="000000"/>
          <w:sz w:val="18"/>
          <w:szCs w:val="18"/>
          <w:lang w:val="pt-BR"/>
        </w:rPr>
        <w:t>Dos alunos que residem em Cajazeiras e estudam em IES públicas, 37,7% relataram ir e vir à pé da IES, 31,1% de moto e o</w:t>
      </w:r>
      <w:r w:rsidR="00BD743B" w:rsidRPr="00386CEC">
        <w:rPr>
          <w:rFonts w:ascii="Helvetica Neue" w:eastAsia="Helvetica Neue" w:hAnsi="Helvetica Neue" w:cs="Helvetica Neue"/>
          <w:noProof/>
          <w:color w:val="000000"/>
          <w:sz w:val="18"/>
          <w:szCs w:val="18"/>
          <w:lang w:val="pt-BR"/>
        </w:rPr>
        <w:t xml:space="preserve">s demais </w:t>
      </w:r>
      <w:r w:rsidR="007570C8" w:rsidRPr="00386CEC">
        <w:rPr>
          <w:rFonts w:ascii="Helvetica Neue" w:eastAsia="Helvetica Neue" w:hAnsi="Helvetica Neue" w:cs="Helvetica Neue"/>
          <w:noProof/>
          <w:color w:val="000000"/>
          <w:sz w:val="18"/>
          <w:szCs w:val="18"/>
          <w:lang w:val="pt-BR"/>
        </w:rPr>
        <w:t>dividido</w:t>
      </w:r>
      <w:r w:rsidR="00BD743B" w:rsidRPr="00386CEC">
        <w:rPr>
          <w:rFonts w:ascii="Helvetica Neue" w:eastAsia="Helvetica Neue" w:hAnsi="Helvetica Neue" w:cs="Helvetica Neue"/>
          <w:noProof/>
          <w:color w:val="000000"/>
          <w:sz w:val="18"/>
          <w:szCs w:val="18"/>
          <w:lang w:val="pt-BR"/>
        </w:rPr>
        <w:t>s</w:t>
      </w:r>
      <w:r w:rsidR="007570C8" w:rsidRPr="00386CEC">
        <w:rPr>
          <w:rFonts w:ascii="Helvetica Neue" w:eastAsia="Helvetica Neue" w:hAnsi="Helvetica Neue" w:cs="Helvetica Neue"/>
          <w:noProof/>
          <w:color w:val="000000"/>
          <w:sz w:val="18"/>
          <w:szCs w:val="18"/>
          <w:lang w:val="pt-BR"/>
        </w:rPr>
        <w:t xml:space="preserve"> entre carro e transporte coletivo. Dos alunos que residem em Cajazeiras e estudam em IES particulares, 35% relataram utilizar moto, 30% carro, 28,3% transporte coletivo particular e o restante transporte coletivo público.</w:t>
      </w:r>
      <w:r w:rsidRPr="00386CEC">
        <w:rPr>
          <w:rFonts w:ascii="Helvetica Neue" w:eastAsia="Helvetica Neue" w:hAnsi="Helvetica Neue" w:cs="Helvetica Neue"/>
          <w:noProof/>
          <w:color w:val="000000"/>
          <w:sz w:val="18"/>
          <w:szCs w:val="18"/>
          <w:lang w:val="pt-BR"/>
        </w:rPr>
        <w:t xml:space="preserve"> </w:t>
      </w:r>
      <w:r w:rsidR="007570C8" w:rsidRPr="00386CEC">
        <w:rPr>
          <w:rFonts w:ascii="Helvetica Neue" w:eastAsia="Helvetica Neue" w:hAnsi="Helvetica Neue" w:cs="Helvetica Neue"/>
          <w:noProof/>
          <w:color w:val="000000"/>
          <w:sz w:val="18"/>
          <w:szCs w:val="18"/>
          <w:lang w:val="pt-BR"/>
        </w:rPr>
        <w:t xml:space="preserve">Dos estudantes que não residem em Cajazeiras e estudam em IES públicas, 97,8% utilizam transporte coletivo público e particular e 2,2% carro. </w:t>
      </w:r>
      <w:r w:rsidR="00386CEC" w:rsidRPr="00386CEC">
        <w:rPr>
          <w:rFonts w:ascii="Helvetica Neue" w:eastAsia="Helvetica Neue" w:hAnsi="Helvetica Neue" w:cs="Helvetica Neue"/>
          <w:noProof/>
          <w:color w:val="000000"/>
          <w:sz w:val="18"/>
          <w:szCs w:val="18"/>
          <w:lang w:val="pt-BR"/>
        </w:rPr>
        <w:t>O</w:t>
      </w:r>
      <w:r w:rsidR="007570C8" w:rsidRPr="00386CEC">
        <w:rPr>
          <w:rFonts w:ascii="Helvetica Neue" w:eastAsia="Helvetica Neue" w:hAnsi="Helvetica Neue" w:cs="Helvetica Neue"/>
          <w:noProof/>
          <w:color w:val="000000"/>
          <w:sz w:val="18"/>
          <w:szCs w:val="18"/>
          <w:lang w:val="pt-BR"/>
        </w:rPr>
        <w:t xml:space="preserve">s que não residem em Cajazeiras e estudam em IES particulares, 95,9% optam pelo transporte coletivo público </w:t>
      </w:r>
      <w:r w:rsidR="00386CEC" w:rsidRPr="00386CEC">
        <w:rPr>
          <w:rFonts w:ascii="Helvetica Neue" w:eastAsia="Helvetica Neue" w:hAnsi="Helvetica Neue" w:cs="Helvetica Neue"/>
          <w:noProof/>
          <w:color w:val="000000"/>
          <w:sz w:val="18"/>
          <w:szCs w:val="18"/>
          <w:lang w:val="pt-BR"/>
        </w:rPr>
        <w:t xml:space="preserve">e </w:t>
      </w:r>
      <w:r w:rsidR="007570C8" w:rsidRPr="00386CEC">
        <w:rPr>
          <w:rFonts w:ascii="Helvetica Neue" w:eastAsia="Helvetica Neue" w:hAnsi="Helvetica Neue" w:cs="Helvetica Neue"/>
          <w:noProof/>
          <w:color w:val="000000"/>
          <w:sz w:val="18"/>
          <w:szCs w:val="18"/>
          <w:lang w:val="pt-BR"/>
        </w:rPr>
        <w:t>particular e o restante</w:t>
      </w:r>
      <w:r w:rsidR="00386CEC" w:rsidRPr="00386CEC">
        <w:rPr>
          <w:rFonts w:ascii="Helvetica Neue" w:eastAsia="Helvetica Neue" w:hAnsi="Helvetica Neue" w:cs="Helvetica Neue"/>
          <w:noProof/>
          <w:color w:val="000000"/>
          <w:sz w:val="18"/>
          <w:szCs w:val="18"/>
          <w:lang w:val="pt-BR"/>
        </w:rPr>
        <w:t xml:space="preserve"> </w:t>
      </w:r>
      <w:r w:rsidR="007570C8" w:rsidRPr="00386CEC">
        <w:rPr>
          <w:rFonts w:ascii="Helvetica Neue" w:eastAsia="Helvetica Neue" w:hAnsi="Helvetica Neue" w:cs="Helvetica Neue"/>
          <w:noProof/>
          <w:color w:val="000000"/>
          <w:sz w:val="18"/>
          <w:szCs w:val="18"/>
          <w:lang w:val="pt-BR"/>
        </w:rPr>
        <w:t>carro.</w:t>
      </w:r>
      <w:r w:rsidR="007570C8" w:rsidRPr="007570C8">
        <w:rPr>
          <w:rFonts w:ascii="Helvetica Neue" w:eastAsia="Helvetica Neue" w:hAnsi="Helvetica Neue" w:cs="Helvetica Neue"/>
          <w:noProof/>
          <w:color w:val="000000"/>
          <w:sz w:val="18"/>
          <w:szCs w:val="18"/>
          <w:lang w:val="pt-BR"/>
        </w:rPr>
        <w:t xml:space="preserve"> </w:t>
      </w:r>
    </w:p>
    <w:p w14:paraId="19EE0E42" w14:textId="77777777" w:rsidR="007570C8" w:rsidRPr="007570C8" w:rsidRDefault="007570C8" w:rsidP="007570C8">
      <w:pPr>
        <w:widowControl w:val="0"/>
        <w:pBdr>
          <w:top w:val="nil"/>
          <w:left w:val="nil"/>
          <w:bottom w:val="nil"/>
          <w:right w:val="nil"/>
          <w:between w:val="nil"/>
        </w:pBdr>
        <w:spacing w:line="288" w:lineRule="auto"/>
        <w:ind w:left="140" w:right="142" w:firstLine="295"/>
        <w:jc w:val="both"/>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bCs/>
          <w:noProof/>
          <w:color w:val="000000"/>
          <w:sz w:val="18"/>
          <w:szCs w:val="18"/>
          <w:lang w:val="pt-BR"/>
        </w:rPr>
        <w:t xml:space="preserve">Dos alunos que residem em Cajazeiras e estudam em IES públicas, obteve-se que 54,1% fazem duas viagens por dia, </w:t>
      </w:r>
      <w:r w:rsidRPr="007570C8">
        <w:rPr>
          <w:rFonts w:ascii="Helvetica Neue" w:eastAsia="Helvetica Neue" w:hAnsi="Helvetica Neue" w:cs="Helvetica Neue"/>
          <w:noProof/>
          <w:color w:val="000000"/>
          <w:sz w:val="18"/>
          <w:szCs w:val="18"/>
          <w:lang w:val="pt-BR"/>
        </w:rPr>
        <w:t>45,8% fazem quatro ou mais viagens por dia. Dos alunos que residem em Cajazeiras e estudam em IES particulares, 61,70% fazem duas viagens por dia e 38,40% fazem 4 ou mais viagens por dia.</w:t>
      </w:r>
    </w:p>
    <w:p w14:paraId="5CA5BC23" w14:textId="62D3280F" w:rsidR="007570C8" w:rsidRPr="007570C8" w:rsidRDefault="007570C8" w:rsidP="007570C8">
      <w:pPr>
        <w:widowControl w:val="0"/>
        <w:pBdr>
          <w:top w:val="nil"/>
          <w:left w:val="nil"/>
          <w:bottom w:val="nil"/>
          <w:right w:val="nil"/>
          <w:between w:val="nil"/>
        </w:pBdr>
        <w:spacing w:line="288" w:lineRule="auto"/>
        <w:ind w:left="140" w:right="142" w:firstLine="295"/>
        <w:jc w:val="both"/>
        <w:rPr>
          <w:rFonts w:ascii="Helvetica Neue" w:eastAsia="Helvetica Neue" w:hAnsi="Helvetica Neue" w:cs="Helvetica Neue"/>
          <w:noProof/>
          <w:color w:val="000000"/>
          <w:sz w:val="18"/>
          <w:szCs w:val="18"/>
          <w:lang w:val="pt-BR"/>
        </w:rPr>
      </w:pPr>
      <w:r w:rsidRPr="007570C8">
        <w:rPr>
          <w:rFonts w:ascii="Helvetica Neue" w:eastAsia="Helvetica Neue" w:hAnsi="Helvetica Neue" w:cs="Helvetica Neue"/>
          <w:noProof/>
          <w:color w:val="000000"/>
          <w:sz w:val="18"/>
          <w:szCs w:val="18"/>
          <w:lang w:val="pt-BR"/>
        </w:rPr>
        <w:t>Dos estudantes que não residem em Cajazeiras e estudam em IES públicas, 100% fazem duas viagens por dia. Já os que não residem e estudam em IES particulares, 91,8% fazem duas viagens por dia e 8,3% fazem 4 viagens por dia.</w:t>
      </w:r>
    </w:p>
    <w:p w14:paraId="1541FE8F" w14:textId="64BAD99F" w:rsidR="00843306" w:rsidRPr="00FA76AD" w:rsidRDefault="00386CEC" w:rsidP="00386CEC">
      <w:pPr>
        <w:widowControl w:val="0"/>
        <w:pBdr>
          <w:top w:val="nil"/>
          <w:left w:val="nil"/>
          <w:bottom w:val="nil"/>
          <w:right w:val="nil"/>
          <w:between w:val="nil"/>
        </w:pBdr>
        <w:spacing w:line="288" w:lineRule="auto"/>
        <w:ind w:left="141" w:right="141" w:firstLine="295"/>
        <w:jc w:val="both"/>
        <w:rPr>
          <w:rFonts w:ascii="Helvetica Neue" w:eastAsia="Helvetica Neue" w:hAnsi="Helvetica Neue" w:cs="Helvetica Neue"/>
          <w:noProof/>
          <w:sz w:val="18"/>
          <w:szCs w:val="18"/>
          <w:lang w:val="pt-BR"/>
        </w:rPr>
      </w:pPr>
      <w:r w:rsidRPr="00FA76AD">
        <w:rPr>
          <w:rFonts w:ascii="Helvetica Neue" w:eastAsia="Helvetica Neue" w:hAnsi="Helvetica Neue" w:cs="Helvetica Neue"/>
          <w:noProof/>
          <w:sz w:val="18"/>
          <w:szCs w:val="18"/>
          <w:lang w:val="pt-BR"/>
        </w:rPr>
        <w:t>Analisando</w:t>
      </w:r>
      <w:r w:rsidR="00E943CB" w:rsidRPr="00FA76AD">
        <w:rPr>
          <w:rFonts w:ascii="Helvetica Neue" w:eastAsia="Helvetica Neue" w:hAnsi="Helvetica Neue" w:cs="Helvetica Neue"/>
          <w:noProof/>
          <w:sz w:val="18"/>
          <w:szCs w:val="18"/>
          <w:lang w:val="pt-BR"/>
        </w:rPr>
        <w:t xml:space="preserve"> a duração das viagens</w:t>
      </w:r>
      <w:r w:rsidR="007570C8" w:rsidRPr="00FA76AD">
        <w:rPr>
          <w:rFonts w:ascii="Helvetica Neue" w:eastAsia="Helvetica Neue" w:hAnsi="Helvetica Neue" w:cs="Helvetica Neue"/>
          <w:noProof/>
          <w:sz w:val="18"/>
          <w:szCs w:val="18"/>
          <w:lang w:val="en-US"/>
        </w:rPr>
        <w:t xml:space="preserve"> </w:t>
      </w:r>
      <w:r w:rsidRPr="00FA76AD">
        <w:rPr>
          <w:rFonts w:ascii="Helvetica Neue" w:eastAsia="Helvetica Neue" w:hAnsi="Helvetica Neue" w:cs="Helvetica Neue"/>
          <w:noProof/>
          <w:sz w:val="18"/>
          <w:szCs w:val="18"/>
          <w:lang w:val="en-US"/>
        </w:rPr>
        <w:t>foi</w:t>
      </w:r>
      <w:r w:rsidR="007570C8" w:rsidRPr="00FA76AD">
        <w:rPr>
          <w:rFonts w:ascii="Helvetica Neue" w:eastAsia="Helvetica Neue" w:hAnsi="Helvetica Neue" w:cs="Helvetica Neue"/>
          <w:noProof/>
          <w:sz w:val="18"/>
          <w:szCs w:val="18"/>
          <w:lang w:val="pt-BR"/>
        </w:rPr>
        <w:t xml:space="preserve"> possível notar que os alunos vindos de outros municípios, mesmo quando estudam </w:t>
      </w:r>
      <w:r w:rsidR="007570C8" w:rsidRPr="00FA76AD">
        <w:rPr>
          <w:rFonts w:ascii="Helvetica Neue" w:eastAsia="Helvetica Neue" w:hAnsi="Helvetica Neue" w:cs="Helvetica Neue"/>
          <w:noProof/>
          <w:sz w:val="18"/>
          <w:szCs w:val="18"/>
          <w:lang w:val="en-US"/>
        </w:rPr>
        <w:t xml:space="preserve">em </w:t>
      </w:r>
      <w:r w:rsidR="007570C8" w:rsidRPr="00FA76AD">
        <w:rPr>
          <w:rFonts w:ascii="Helvetica Neue" w:eastAsia="Helvetica Neue" w:hAnsi="Helvetica Neue" w:cs="Helvetica Neue"/>
          <w:noProof/>
          <w:sz w:val="18"/>
          <w:szCs w:val="18"/>
          <w:lang w:val="pt-BR"/>
        </w:rPr>
        <w:t>mais de um turno, preferem se manter na cidade até o fim do expediente de aulas</w:t>
      </w:r>
      <w:r w:rsidRPr="00FA76AD">
        <w:rPr>
          <w:rFonts w:ascii="Helvetica Neue" w:eastAsia="Helvetica Neue" w:hAnsi="Helvetica Neue" w:cs="Helvetica Neue"/>
          <w:noProof/>
          <w:sz w:val="18"/>
          <w:szCs w:val="18"/>
          <w:lang w:val="en-US"/>
        </w:rPr>
        <w:t>,</w:t>
      </w:r>
      <w:r w:rsidR="007570C8" w:rsidRPr="00FA76AD">
        <w:rPr>
          <w:rFonts w:ascii="Helvetica Neue" w:eastAsia="Helvetica Neue" w:hAnsi="Helvetica Neue" w:cs="Helvetica Neue"/>
          <w:noProof/>
          <w:sz w:val="18"/>
          <w:szCs w:val="18"/>
          <w:lang w:val="en-US"/>
        </w:rPr>
        <w:t xml:space="preserve"> </w:t>
      </w:r>
      <w:r w:rsidRPr="00FA76AD">
        <w:rPr>
          <w:rFonts w:ascii="Helvetica Neue" w:eastAsia="Helvetica Neue" w:hAnsi="Helvetica Neue" w:cs="Helvetica Neue"/>
          <w:noProof/>
          <w:sz w:val="18"/>
          <w:szCs w:val="18"/>
          <w:lang w:val="en-US"/>
        </w:rPr>
        <w:t>e</w:t>
      </w:r>
      <w:r w:rsidR="007570C8" w:rsidRPr="00FA76AD">
        <w:rPr>
          <w:rFonts w:ascii="Helvetica Neue" w:eastAsia="Helvetica Neue" w:hAnsi="Helvetica Neue" w:cs="Helvetica Neue"/>
          <w:noProof/>
          <w:sz w:val="18"/>
          <w:szCs w:val="18"/>
          <w:lang w:val="pt-BR"/>
        </w:rPr>
        <w:t>nquanto os que moram em Cajazeiras têm mais liberdade para fazerem mais de 2 viagens por dia.</w:t>
      </w:r>
      <w:r w:rsidRPr="00FA76AD">
        <w:rPr>
          <w:rFonts w:ascii="Helvetica Neue" w:eastAsia="Helvetica Neue" w:hAnsi="Helvetica Neue" w:cs="Helvetica Neue"/>
          <w:noProof/>
          <w:sz w:val="18"/>
          <w:szCs w:val="18"/>
          <w:lang w:val="pt-BR"/>
        </w:rPr>
        <w:t xml:space="preserve"> </w:t>
      </w:r>
      <w:r w:rsidRPr="00FA76AD">
        <w:rPr>
          <w:rFonts w:ascii="Helvetica Neue" w:eastAsia="Helvetica Neue" w:hAnsi="Helvetica Neue" w:cs="Helvetica Neue"/>
          <w:noProof/>
          <w:sz w:val="18"/>
          <w:szCs w:val="18"/>
          <w:lang w:val="en-US"/>
        </w:rPr>
        <w:t xml:space="preserve">Também observa-se que a duração das viagéns é </w:t>
      </w:r>
      <w:r w:rsidR="007570C8" w:rsidRPr="00FA76AD">
        <w:rPr>
          <w:rFonts w:ascii="Helvetica Neue" w:eastAsia="Helvetica Neue" w:hAnsi="Helvetica Neue" w:cs="Helvetica Neue"/>
          <w:noProof/>
          <w:sz w:val="18"/>
          <w:szCs w:val="18"/>
          <w:lang w:val="pt-BR"/>
        </w:rPr>
        <w:t xml:space="preserve">mais um motivo para o reduzido número de viagens dos estudantes que não residem </w:t>
      </w:r>
      <w:r w:rsidR="00FA76AD" w:rsidRPr="00FA76AD">
        <w:rPr>
          <w:rFonts w:ascii="Helvetica Neue" w:eastAsia="Helvetica Neue" w:hAnsi="Helvetica Neue" w:cs="Helvetica Neue"/>
          <w:noProof/>
          <w:sz w:val="18"/>
          <w:szCs w:val="18"/>
          <w:lang w:val="pt-BR"/>
        </w:rPr>
        <w:t>em Cajazeiras</w:t>
      </w:r>
      <w:r w:rsidR="007570C8" w:rsidRPr="00FA76AD">
        <w:rPr>
          <w:rFonts w:ascii="Helvetica Neue" w:eastAsia="Helvetica Neue" w:hAnsi="Helvetica Neue" w:cs="Helvetica Neue"/>
          <w:noProof/>
          <w:sz w:val="18"/>
          <w:szCs w:val="18"/>
          <w:lang w:val="pt-BR"/>
        </w:rPr>
        <w:t>. Em média, os alunos que moram em Cajazeiras gastam até 20 minutos por viagem</w:t>
      </w:r>
      <w:r w:rsidR="00FA76AD" w:rsidRPr="00FA76AD">
        <w:rPr>
          <w:rFonts w:ascii="Helvetica Neue" w:eastAsia="Helvetica Neue" w:hAnsi="Helvetica Neue" w:cs="Helvetica Neue"/>
          <w:noProof/>
          <w:sz w:val="18"/>
          <w:szCs w:val="18"/>
          <w:lang w:val="pt-BR"/>
        </w:rPr>
        <w:t>, enquanto</w:t>
      </w:r>
      <w:r w:rsidR="007570C8" w:rsidRPr="00FA76AD">
        <w:rPr>
          <w:rFonts w:ascii="Helvetica Neue" w:eastAsia="Helvetica Neue" w:hAnsi="Helvetica Neue" w:cs="Helvetica Neue"/>
          <w:noProof/>
          <w:sz w:val="18"/>
          <w:szCs w:val="18"/>
          <w:lang w:val="pt-BR"/>
        </w:rPr>
        <w:t xml:space="preserve"> os alunos que moram em outros municípios gastam até 1 hora e meia.</w:t>
      </w:r>
      <w:r w:rsidR="00E943CB" w:rsidRPr="00FA76AD">
        <w:rPr>
          <w:rFonts w:ascii="Helvetica Neue" w:eastAsia="Helvetica Neue" w:hAnsi="Helvetica Neue" w:cs="Helvetica Neue"/>
          <w:noProof/>
          <w:sz w:val="18"/>
          <w:szCs w:val="18"/>
          <w:lang w:val="pt-BR"/>
        </w:rPr>
        <w:t xml:space="preserve"> </w:t>
      </w:r>
      <w:r w:rsidR="007570C8" w:rsidRPr="00FA76AD">
        <w:rPr>
          <w:rFonts w:ascii="Helvetica Neue" w:eastAsia="Helvetica Neue" w:hAnsi="Helvetica Neue" w:cs="Helvetica Neue"/>
          <w:noProof/>
          <w:sz w:val="18"/>
          <w:szCs w:val="18"/>
          <w:lang w:val="pt-BR"/>
        </w:rPr>
        <w:t xml:space="preserve">Ou seja, a quantidade de horas diárias gastas </w:t>
      </w:r>
      <w:r w:rsidR="00FA76AD">
        <w:rPr>
          <w:rFonts w:ascii="Helvetica Neue" w:eastAsia="Helvetica Neue" w:hAnsi="Helvetica Neue" w:cs="Helvetica Neue"/>
          <w:noProof/>
          <w:sz w:val="18"/>
          <w:szCs w:val="18"/>
          <w:lang w:val="pt-BR"/>
        </w:rPr>
        <w:t>com</w:t>
      </w:r>
      <w:r w:rsidR="007570C8" w:rsidRPr="00FA76AD">
        <w:rPr>
          <w:rFonts w:ascii="Helvetica Neue" w:eastAsia="Helvetica Neue" w:hAnsi="Helvetica Neue" w:cs="Helvetica Neue"/>
          <w:noProof/>
          <w:sz w:val="18"/>
          <w:szCs w:val="18"/>
          <w:lang w:val="pt-BR"/>
        </w:rPr>
        <w:t xml:space="preserve"> transporte, para os alunos que moram </w:t>
      </w:r>
      <w:r w:rsidR="007570C8" w:rsidRPr="00FA76AD">
        <w:rPr>
          <w:rFonts w:ascii="Helvetica Neue" w:eastAsia="Helvetica Neue" w:hAnsi="Helvetica Neue" w:cs="Helvetica Neue"/>
          <w:noProof/>
          <w:sz w:val="18"/>
          <w:szCs w:val="18"/>
          <w:lang w:val="en-US"/>
        </w:rPr>
        <w:t>em outro município,</w:t>
      </w:r>
      <w:r w:rsidR="007570C8" w:rsidRPr="00FA76AD">
        <w:rPr>
          <w:rFonts w:ascii="Helvetica Neue" w:eastAsia="Helvetica Neue" w:hAnsi="Helvetica Neue" w:cs="Helvetica Neue"/>
          <w:noProof/>
          <w:sz w:val="18"/>
          <w:szCs w:val="18"/>
          <w:lang w:val="pt-BR"/>
        </w:rPr>
        <w:t xml:space="preserve"> inviabiliza um número elevado de viagens diárias.</w:t>
      </w:r>
    </w:p>
    <w:p w14:paraId="1FCF7C08" w14:textId="77777777" w:rsidR="00843306" w:rsidRPr="00170DCB" w:rsidRDefault="00D35C45">
      <w:pPr>
        <w:widowControl w:val="0"/>
        <w:numPr>
          <w:ilvl w:val="0"/>
          <w:numId w:val="1"/>
        </w:numPr>
        <w:spacing w:before="240" w:after="240"/>
        <w:ind w:left="436" w:right="141" w:hanging="294"/>
        <w:rPr>
          <w:rFonts w:ascii="Helvetica Neue" w:eastAsia="Helvetica Neue" w:hAnsi="Helvetica Neue" w:cs="Helvetica Neue"/>
          <w:b/>
          <w:color w:val="000000"/>
          <w:sz w:val="18"/>
          <w:szCs w:val="18"/>
        </w:rPr>
      </w:pPr>
      <w:r w:rsidRPr="00170DCB">
        <w:rPr>
          <w:rFonts w:ascii="Helvetica Neue" w:eastAsia="Helvetica Neue" w:hAnsi="Helvetica Neue" w:cs="Helvetica Neue"/>
          <w:b/>
          <w:color w:val="000000"/>
          <w:sz w:val="18"/>
          <w:szCs w:val="18"/>
        </w:rPr>
        <w:t>Considerações Finais</w:t>
      </w:r>
    </w:p>
    <w:p w14:paraId="75D60EB4" w14:textId="16DF7071" w:rsidR="007570C8" w:rsidRPr="007570C8" w:rsidRDefault="007570C8" w:rsidP="007570C8">
      <w:pPr>
        <w:widowControl w:val="0"/>
        <w:spacing w:line="288" w:lineRule="auto"/>
        <w:ind w:left="141" w:right="141" w:firstLine="294"/>
        <w:jc w:val="both"/>
        <w:rPr>
          <w:rFonts w:ascii="Helvetica Neue" w:eastAsia="Helvetica Neue" w:hAnsi="Helvetica Neue" w:cs="Helvetica Neue"/>
          <w:sz w:val="18"/>
          <w:szCs w:val="18"/>
          <w:lang w:val="pt-BR"/>
        </w:rPr>
      </w:pPr>
      <w:r w:rsidRPr="007570C8">
        <w:rPr>
          <w:rFonts w:ascii="Helvetica Neue" w:eastAsia="Helvetica Neue" w:hAnsi="Helvetica Neue" w:cs="Helvetica Neue"/>
          <w:sz w:val="18"/>
          <w:szCs w:val="18"/>
          <w:lang w:val="pt-BR"/>
        </w:rPr>
        <w:t xml:space="preserve">Considerados como </w:t>
      </w:r>
      <w:proofErr w:type="spellStart"/>
      <w:r w:rsidRPr="007570C8">
        <w:rPr>
          <w:rFonts w:ascii="Helvetica Neue" w:eastAsia="Helvetica Neue" w:hAnsi="Helvetica Neue" w:cs="Helvetica Neue"/>
          <w:sz w:val="18"/>
          <w:szCs w:val="18"/>
          <w:lang w:val="pt-BR"/>
        </w:rPr>
        <w:t>PGVs</w:t>
      </w:r>
      <w:proofErr w:type="spellEnd"/>
      <w:r w:rsidRPr="007570C8">
        <w:rPr>
          <w:rFonts w:ascii="Helvetica Neue" w:eastAsia="Helvetica Neue" w:hAnsi="Helvetica Neue" w:cs="Helvetica Neue"/>
          <w:sz w:val="18"/>
          <w:szCs w:val="18"/>
          <w:lang w:val="pt-BR"/>
        </w:rPr>
        <w:t xml:space="preserve">, as Instituições de Ensino Superior são empreendimentos que atraem pessoas de diversos lugares, produzindo um número de viagens considerável para um determinado local. Ao analisar os resultados obtidos na cidade de Cajazeiras, observou-se que há um alto índice de migração para a cidade que se localiza os </w:t>
      </w:r>
      <w:proofErr w:type="spellStart"/>
      <w:r w:rsidRPr="007570C8">
        <w:rPr>
          <w:rFonts w:ascii="Helvetica Neue" w:eastAsia="Helvetica Neue" w:hAnsi="Helvetica Neue" w:cs="Helvetica Neue"/>
          <w:sz w:val="18"/>
          <w:szCs w:val="18"/>
          <w:lang w:val="pt-BR"/>
        </w:rPr>
        <w:t>PGVs</w:t>
      </w:r>
      <w:proofErr w:type="spellEnd"/>
      <w:r w:rsidRPr="007570C8">
        <w:rPr>
          <w:rFonts w:ascii="Helvetica Neue" w:eastAsia="Helvetica Neue" w:hAnsi="Helvetica Neue" w:cs="Helvetica Neue"/>
          <w:sz w:val="18"/>
          <w:szCs w:val="18"/>
          <w:lang w:val="pt-BR"/>
        </w:rPr>
        <w:t xml:space="preserve">, devido à graduação. Pôde-se perceber que, dos 239 estudantes que responderam ao formulário, 24,7% mudaram-se definitivamente para a cidade (média de 166km de Cajazeiras), exclusivamente por causa da faculdade, enquanto 49,4% se deslocam diariamente da cidade de origem até à instituição (média de 56km de Cajazeiras). </w:t>
      </w:r>
    </w:p>
    <w:p w14:paraId="2FFEFA64" w14:textId="33218AF1" w:rsidR="007570C8" w:rsidRPr="007570C8" w:rsidRDefault="007570C8" w:rsidP="007570C8">
      <w:pPr>
        <w:widowControl w:val="0"/>
        <w:spacing w:line="288" w:lineRule="auto"/>
        <w:ind w:left="141" w:right="141" w:firstLine="294"/>
        <w:jc w:val="both"/>
        <w:rPr>
          <w:rFonts w:ascii="Helvetica Neue" w:eastAsia="Helvetica Neue" w:hAnsi="Helvetica Neue" w:cs="Helvetica Neue"/>
          <w:sz w:val="18"/>
          <w:szCs w:val="18"/>
          <w:lang w:val="pt-BR"/>
        </w:rPr>
      </w:pPr>
      <w:r w:rsidRPr="007570C8">
        <w:rPr>
          <w:rFonts w:ascii="Helvetica Neue" w:eastAsia="Helvetica Neue" w:hAnsi="Helvetica Neue" w:cs="Helvetica Neue"/>
          <w:sz w:val="18"/>
          <w:szCs w:val="18"/>
          <w:lang w:val="pt-BR"/>
        </w:rPr>
        <w:t xml:space="preserve">Ao analisar os meios de transportes utilizados pelos alunos para se deslocarem de suas residências até às IES, percebeu-se que ainda há um grande número de alunos que utilizam os modais motorizados – carros e motocicletas –, o que evidencia, ainda, a dependência dos alunos a esses tipos de transportes. Já os alunos que residem fora da cidade, possuem a maior taxa de utilização de transporte coletivo público e particular – ônibus e vans </w:t>
      </w:r>
      <w:r w:rsidR="006A7EA2" w:rsidRPr="007570C8">
        <w:rPr>
          <w:rFonts w:ascii="Helvetica Neue" w:eastAsia="Helvetica Neue" w:hAnsi="Helvetica Neue" w:cs="Helvetica Neue"/>
          <w:sz w:val="18"/>
          <w:szCs w:val="18"/>
          <w:lang w:val="pt-BR"/>
        </w:rPr>
        <w:t>–</w:t>
      </w:r>
      <w:r w:rsidRPr="007570C8">
        <w:rPr>
          <w:rFonts w:ascii="Helvetica Neue" w:eastAsia="Helvetica Neue" w:hAnsi="Helvetica Neue" w:cs="Helvetica Neue"/>
          <w:sz w:val="18"/>
          <w:szCs w:val="18"/>
          <w:lang w:val="pt-BR"/>
        </w:rPr>
        <w:t xml:space="preserve">, que por sua vez, colabora para a redução dos impactos causados pelos </w:t>
      </w:r>
      <w:proofErr w:type="spellStart"/>
      <w:r w:rsidRPr="007570C8">
        <w:rPr>
          <w:rFonts w:ascii="Helvetica Neue" w:eastAsia="Helvetica Neue" w:hAnsi="Helvetica Neue" w:cs="Helvetica Neue"/>
          <w:sz w:val="18"/>
          <w:szCs w:val="18"/>
          <w:lang w:val="pt-BR"/>
        </w:rPr>
        <w:t>PGVs</w:t>
      </w:r>
      <w:proofErr w:type="spellEnd"/>
      <w:r w:rsidRPr="007570C8">
        <w:rPr>
          <w:rFonts w:ascii="Helvetica Neue" w:eastAsia="Helvetica Neue" w:hAnsi="Helvetica Neue" w:cs="Helvetica Neue"/>
          <w:sz w:val="18"/>
          <w:szCs w:val="18"/>
          <w:lang w:val="pt-BR"/>
        </w:rPr>
        <w:t xml:space="preserve">. </w:t>
      </w:r>
    </w:p>
    <w:p w14:paraId="062BF42A" w14:textId="416B5BAA" w:rsidR="00843306" w:rsidRPr="00C22665" w:rsidRDefault="007570C8" w:rsidP="00C22665">
      <w:pPr>
        <w:widowControl w:val="0"/>
        <w:spacing w:line="288" w:lineRule="auto"/>
        <w:ind w:left="141" w:right="141" w:firstLine="294"/>
        <w:jc w:val="both"/>
        <w:rPr>
          <w:rFonts w:ascii="Helvetica Neue" w:eastAsia="Helvetica Neue" w:hAnsi="Helvetica Neue" w:cs="Helvetica Neue"/>
          <w:sz w:val="18"/>
          <w:szCs w:val="18"/>
          <w:lang w:val="pt-BR"/>
        </w:rPr>
      </w:pPr>
      <w:r w:rsidRPr="007570C8">
        <w:rPr>
          <w:rFonts w:ascii="Helvetica Neue" w:eastAsia="Helvetica Neue" w:hAnsi="Helvetica Neue" w:cs="Helvetica Neue"/>
          <w:sz w:val="18"/>
          <w:szCs w:val="18"/>
          <w:lang w:val="pt-BR"/>
        </w:rPr>
        <w:t xml:space="preserve">As viagens realizadas pelos estudantes têm impacto direto no sistema viário e de transporte, bem como no movimento migratório para a cidade. Também, destaca-se a necessidade de pesquisas que visem ampliar a amostra com a inclusão de docentes e funcionários, e ainda a caracterização dos impactos causados por esses </w:t>
      </w:r>
      <w:proofErr w:type="spellStart"/>
      <w:r w:rsidRPr="007570C8">
        <w:rPr>
          <w:rFonts w:ascii="Helvetica Neue" w:eastAsia="Helvetica Neue" w:hAnsi="Helvetica Neue" w:cs="Helvetica Neue"/>
          <w:sz w:val="18"/>
          <w:szCs w:val="18"/>
          <w:lang w:val="pt-BR"/>
        </w:rPr>
        <w:t>PGVs</w:t>
      </w:r>
      <w:proofErr w:type="spellEnd"/>
      <w:r w:rsidRPr="007570C8">
        <w:rPr>
          <w:rFonts w:ascii="Helvetica Neue" w:eastAsia="Helvetica Neue" w:hAnsi="Helvetica Neue" w:cs="Helvetica Neue"/>
          <w:sz w:val="18"/>
          <w:szCs w:val="18"/>
          <w:lang w:val="pt-BR"/>
        </w:rPr>
        <w:t>.</w:t>
      </w:r>
    </w:p>
    <w:p w14:paraId="17E363FB" w14:textId="06E1EF16" w:rsidR="00B316CC" w:rsidRPr="00C22665" w:rsidRDefault="00D35C45" w:rsidP="00C22665">
      <w:pPr>
        <w:widowControl w:val="0"/>
        <w:spacing w:before="240" w:after="240" w:line="288" w:lineRule="auto"/>
        <w:ind w:right="142" w:firstLine="142"/>
        <w:rPr>
          <w:rFonts w:ascii="Helvetica Neue" w:eastAsia="Helvetica Neue" w:hAnsi="Helvetica Neue" w:cs="Helvetica Neue"/>
          <w:b/>
          <w:color w:val="000000"/>
          <w:sz w:val="18"/>
          <w:szCs w:val="18"/>
        </w:rPr>
      </w:pPr>
      <w:r w:rsidRPr="00C22665">
        <w:rPr>
          <w:rFonts w:ascii="Helvetica Neue" w:eastAsia="Helvetica Neue" w:hAnsi="Helvetica Neue" w:cs="Helvetica Neue"/>
          <w:b/>
          <w:color w:val="000000"/>
          <w:sz w:val="18"/>
          <w:szCs w:val="18"/>
        </w:rPr>
        <w:t>Referências</w:t>
      </w:r>
    </w:p>
    <w:p w14:paraId="750C379F" w14:textId="2B35F851" w:rsidR="00B316CC" w:rsidRPr="00E20052" w:rsidRDefault="006A7EA2" w:rsidP="00C22665">
      <w:pPr>
        <w:widowControl w:val="0"/>
        <w:spacing w:line="288" w:lineRule="auto"/>
        <w:ind w:left="141" w:right="141"/>
        <w:rPr>
          <w:rFonts w:ascii="Helvetica Neue" w:hAnsi="Helvetica Neue"/>
          <w:sz w:val="18"/>
          <w:szCs w:val="18"/>
        </w:rPr>
      </w:pPr>
      <w:r w:rsidRPr="00E20052">
        <w:rPr>
          <w:rFonts w:ascii="Helvetica Neue" w:hAnsi="Helvetica Neue"/>
          <w:sz w:val="18"/>
          <w:szCs w:val="18"/>
        </w:rPr>
        <w:t>JACQUES</w:t>
      </w:r>
      <w:r w:rsidR="00B316CC" w:rsidRPr="00E20052">
        <w:rPr>
          <w:rFonts w:ascii="Helvetica Neue" w:hAnsi="Helvetica Neue"/>
          <w:sz w:val="18"/>
          <w:szCs w:val="18"/>
        </w:rPr>
        <w:t xml:space="preserve">, M. A. P., </w:t>
      </w:r>
      <w:r w:rsidRPr="00E20052">
        <w:rPr>
          <w:rFonts w:ascii="Helvetica Neue" w:hAnsi="Helvetica Neue"/>
          <w:sz w:val="18"/>
          <w:szCs w:val="18"/>
        </w:rPr>
        <w:t>BERTAZZO</w:t>
      </w:r>
      <w:r w:rsidR="00B316CC" w:rsidRPr="00E20052">
        <w:rPr>
          <w:rFonts w:ascii="Helvetica Neue" w:hAnsi="Helvetica Neue"/>
          <w:sz w:val="18"/>
          <w:szCs w:val="18"/>
        </w:rPr>
        <w:t xml:space="preserve">, A., </w:t>
      </w:r>
      <w:r w:rsidRPr="00E20052">
        <w:rPr>
          <w:rFonts w:ascii="Helvetica Neue" w:hAnsi="Helvetica Neue"/>
          <w:sz w:val="18"/>
          <w:szCs w:val="18"/>
        </w:rPr>
        <w:t>CALARRAGA</w:t>
      </w:r>
      <w:r w:rsidR="00B316CC" w:rsidRPr="00E20052">
        <w:rPr>
          <w:rFonts w:ascii="Helvetica Neue" w:hAnsi="Helvetica Neue"/>
          <w:sz w:val="18"/>
          <w:szCs w:val="18"/>
        </w:rPr>
        <w:t xml:space="preserve">, J. e </w:t>
      </w:r>
      <w:r w:rsidRPr="00E20052">
        <w:rPr>
          <w:rFonts w:ascii="Helvetica Neue" w:hAnsi="Helvetica Neue"/>
          <w:sz w:val="18"/>
          <w:szCs w:val="18"/>
        </w:rPr>
        <w:t>HERZ</w:t>
      </w:r>
      <w:r w:rsidR="00B316CC" w:rsidRPr="00E20052">
        <w:rPr>
          <w:rFonts w:ascii="Helvetica Neue" w:hAnsi="Helvetica Neue"/>
          <w:sz w:val="18"/>
          <w:szCs w:val="18"/>
        </w:rPr>
        <w:t>, M. Nova abordagem para o estudo das viagens geradas nas instituições de ensino. Transportes, vol. 18, n. 1, p. 75-85.</w:t>
      </w:r>
      <w:r w:rsidR="00E20052" w:rsidRPr="00E20052">
        <w:rPr>
          <w:rFonts w:ascii="Helvetica Neue" w:hAnsi="Helvetica Neue"/>
          <w:sz w:val="18"/>
          <w:szCs w:val="18"/>
        </w:rPr>
        <w:t xml:space="preserve"> 2010.</w:t>
      </w:r>
    </w:p>
    <w:p w14:paraId="0FA96344" w14:textId="597F6210" w:rsidR="00B316CC" w:rsidRPr="00E20052" w:rsidRDefault="00DE0047" w:rsidP="00C22665">
      <w:pPr>
        <w:spacing w:line="288" w:lineRule="auto"/>
        <w:ind w:left="142" w:hanging="2"/>
        <w:rPr>
          <w:rFonts w:ascii="Helvetica Neue" w:hAnsi="Helvetica Neue"/>
          <w:sz w:val="18"/>
          <w:szCs w:val="18"/>
        </w:rPr>
      </w:pPr>
      <w:r w:rsidRPr="00E20052">
        <w:rPr>
          <w:rFonts w:ascii="Helvetica Neue" w:hAnsi="Helvetica Neue"/>
          <w:sz w:val="18"/>
          <w:szCs w:val="18"/>
        </w:rPr>
        <w:t>CONFEDERA</w:t>
      </w:r>
      <w:r w:rsidRPr="00E20052">
        <w:rPr>
          <w:rFonts w:ascii="Helvetica Neue" w:hAnsi="Helvetica Neue" w:hint="eastAsia"/>
          <w:sz w:val="18"/>
          <w:szCs w:val="18"/>
        </w:rPr>
        <w:t>ÇÃ</w:t>
      </w:r>
      <w:r w:rsidRPr="00E20052">
        <w:rPr>
          <w:rFonts w:ascii="Helvetica Neue" w:hAnsi="Helvetica Neue"/>
          <w:sz w:val="18"/>
          <w:szCs w:val="18"/>
        </w:rPr>
        <w:t>O NACIONAL DE MUNIC</w:t>
      </w:r>
      <w:r w:rsidRPr="00E20052">
        <w:rPr>
          <w:rFonts w:ascii="Helvetica Neue" w:hAnsi="Helvetica Neue" w:hint="eastAsia"/>
          <w:sz w:val="18"/>
          <w:szCs w:val="18"/>
        </w:rPr>
        <w:t>Í</w:t>
      </w:r>
      <w:r w:rsidRPr="00E20052">
        <w:rPr>
          <w:rFonts w:ascii="Helvetica Neue" w:hAnsi="Helvetica Neue"/>
          <w:sz w:val="18"/>
          <w:szCs w:val="18"/>
        </w:rPr>
        <w:t>PIOS</w:t>
      </w:r>
      <w:r w:rsidR="00B316CC" w:rsidRPr="00E20052">
        <w:rPr>
          <w:rFonts w:ascii="Helvetica Neue" w:hAnsi="Helvetica Neue"/>
          <w:sz w:val="18"/>
          <w:szCs w:val="18"/>
        </w:rPr>
        <w:t>.</w:t>
      </w:r>
      <w:r w:rsidRPr="00E20052">
        <w:rPr>
          <w:rFonts w:ascii="Helvetica Neue" w:hAnsi="Helvetica Neue"/>
          <w:sz w:val="18"/>
          <w:szCs w:val="18"/>
        </w:rPr>
        <w:t xml:space="preserve"> </w:t>
      </w:r>
      <w:r w:rsidR="00B316CC" w:rsidRPr="00E20052">
        <w:rPr>
          <w:rFonts w:ascii="Helvetica Neue" w:hAnsi="Helvetica Neue"/>
          <w:sz w:val="18"/>
          <w:szCs w:val="18"/>
        </w:rPr>
        <w:t>Dobra a quantidade de Municípios com instituições de ensino superior, diz IBGE. 2015.</w:t>
      </w:r>
      <w:r w:rsidRPr="00DE0047">
        <w:rPr>
          <w:rFonts w:ascii="Helvetica Neue" w:hAnsi="Helvetica Neue"/>
          <w:sz w:val="18"/>
          <w:szCs w:val="18"/>
        </w:rPr>
        <w:t xml:space="preserve"> </w:t>
      </w:r>
      <w:r>
        <w:rPr>
          <w:rFonts w:ascii="Helvetica Neue" w:hAnsi="Helvetica Neue"/>
          <w:sz w:val="18"/>
          <w:szCs w:val="18"/>
        </w:rPr>
        <w:t>CNM [Online], 2015.</w:t>
      </w:r>
      <w:r w:rsidR="00B316CC" w:rsidRPr="00E20052">
        <w:rPr>
          <w:rFonts w:ascii="Helvetica Neue" w:hAnsi="Helvetica Neue"/>
          <w:sz w:val="18"/>
          <w:szCs w:val="18"/>
        </w:rPr>
        <w:t xml:space="preserve"> Disponível em: &lt;https://www.cnm.org.br/comunicacao/noticias/dobra-a-quantidade-de-municipios-com-instituicoes-de-ensino-superior-diz-ibge&gt;</w:t>
      </w:r>
      <w:r>
        <w:rPr>
          <w:rFonts w:ascii="Helvetica Neue" w:hAnsi="Helvetica Neue"/>
          <w:sz w:val="18"/>
          <w:szCs w:val="18"/>
        </w:rPr>
        <w:t>.</w:t>
      </w:r>
      <w:r w:rsidR="00B316CC" w:rsidRPr="00E20052">
        <w:rPr>
          <w:rFonts w:ascii="Helvetica Neue" w:hAnsi="Helvetica Neue"/>
          <w:sz w:val="18"/>
          <w:szCs w:val="18"/>
        </w:rPr>
        <w:t xml:space="preserve"> Acesso em: 06 </w:t>
      </w:r>
      <w:r>
        <w:rPr>
          <w:rFonts w:ascii="Helvetica Neue" w:hAnsi="Helvetica Neue"/>
          <w:sz w:val="18"/>
          <w:szCs w:val="18"/>
        </w:rPr>
        <w:t>Dezembro</w:t>
      </w:r>
      <w:r w:rsidR="00B316CC" w:rsidRPr="00E20052">
        <w:rPr>
          <w:rFonts w:ascii="Helvetica Neue" w:hAnsi="Helvetica Neue"/>
          <w:sz w:val="18"/>
          <w:szCs w:val="18"/>
        </w:rPr>
        <w:t>. 2020.</w:t>
      </w:r>
    </w:p>
    <w:p w14:paraId="405172AE" w14:textId="77777777" w:rsidR="00B316CC" w:rsidRPr="00E20052" w:rsidRDefault="00B316CC">
      <w:pPr>
        <w:widowControl w:val="0"/>
        <w:spacing w:line="288" w:lineRule="auto"/>
        <w:ind w:left="141" w:right="141"/>
        <w:rPr>
          <w:rFonts w:ascii="Helvetica Neue" w:hAnsi="Helvetica Neue"/>
          <w:sz w:val="18"/>
          <w:szCs w:val="18"/>
        </w:rPr>
      </w:pPr>
    </w:p>
    <w:sectPr w:rsidR="00B316CC" w:rsidRPr="00E20052">
      <w:headerReference w:type="default" r:id="rId10"/>
      <w:footerReference w:type="default" r:id="rId11"/>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6A2B" w14:textId="77777777" w:rsidR="00F42A51" w:rsidRDefault="00F42A51">
      <w:r>
        <w:separator/>
      </w:r>
    </w:p>
  </w:endnote>
  <w:endnote w:type="continuationSeparator" w:id="0">
    <w:p w14:paraId="23FD50AD" w14:textId="77777777" w:rsidR="00F42A51" w:rsidRDefault="00F4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27E" w14:textId="77777777" w:rsidR="00843306" w:rsidRDefault="00843306">
    <w:pPr>
      <w:widowControl w:val="0"/>
      <w:spacing w:before="212"/>
      <w:ind w:left="412"/>
      <w:rPr>
        <w:rFonts w:ascii="Helvetica Neue" w:eastAsia="Helvetica Neue" w:hAnsi="Helvetica Neue" w:cs="Helvetica Neue"/>
        <w:sz w:val="18"/>
        <w:szCs w:val="18"/>
      </w:rPr>
    </w:pPr>
  </w:p>
  <w:p w14:paraId="57E482E1" w14:textId="77777777" w:rsidR="00843306" w:rsidRDefault="00D35C45">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61F8D6A2" wp14:editId="224EDE2B">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6823" w14:textId="77777777" w:rsidR="00F42A51" w:rsidRDefault="00F42A51">
      <w:r>
        <w:separator/>
      </w:r>
    </w:p>
  </w:footnote>
  <w:footnote w:type="continuationSeparator" w:id="0">
    <w:p w14:paraId="3705E610" w14:textId="77777777" w:rsidR="00F42A51" w:rsidRDefault="00F4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60CE" w14:textId="77777777" w:rsidR="00843306" w:rsidRDefault="00D35C45">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16677D0D" wp14:editId="1B352C7F">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162"/>
    <w:multiLevelType w:val="multilevel"/>
    <w:tmpl w:val="A858CAB6"/>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0F491428"/>
    <w:multiLevelType w:val="multilevel"/>
    <w:tmpl w:val="E1003908"/>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28AE55DC"/>
    <w:multiLevelType w:val="multilevel"/>
    <w:tmpl w:val="59068D8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06"/>
    <w:rsid w:val="00052627"/>
    <w:rsid w:val="00170DCB"/>
    <w:rsid w:val="003055E8"/>
    <w:rsid w:val="00313753"/>
    <w:rsid w:val="00321616"/>
    <w:rsid w:val="00333308"/>
    <w:rsid w:val="00337296"/>
    <w:rsid w:val="00386CEC"/>
    <w:rsid w:val="003A3794"/>
    <w:rsid w:val="003F0952"/>
    <w:rsid w:val="0040505A"/>
    <w:rsid w:val="004D6D47"/>
    <w:rsid w:val="005A087F"/>
    <w:rsid w:val="005E1C71"/>
    <w:rsid w:val="00656ACA"/>
    <w:rsid w:val="00661A73"/>
    <w:rsid w:val="006A3B43"/>
    <w:rsid w:val="006A7EA2"/>
    <w:rsid w:val="00752DB5"/>
    <w:rsid w:val="007570C8"/>
    <w:rsid w:val="0082736D"/>
    <w:rsid w:val="00843306"/>
    <w:rsid w:val="00A33958"/>
    <w:rsid w:val="00A675DD"/>
    <w:rsid w:val="00A75102"/>
    <w:rsid w:val="00B316CC"/>
    <w:rsid w:val="00B44B44"/>
    <w:rsid w:val="00B740C3"/>
    <w:rsid w:val="00BD743B"/>
    <w:rsid w:val="00C22665"/>
    <w:rsid w:val="00C77ED0"/>
    <w:rsid w:val="00CA5312"/>
    <w:rsid w:val="00D35C45"/>
    <w:rsid w:val="00DE0047"/>
    <w:rsid w:val="00E20052"/>
    <w:rsid w:val="00E76016"/>
    <w:rsid w:val="00E943CB"/>
    <w:rsid w:val="00EB507F"/>
    <w:rsid w:val="00EF2E29"/>
    <w:rsid w:val="00F40436"/>
    <w:rsid w:val="00F42A51"/>
    <w:rsid w:val="00F5721A"/>
    <w:rsid w:val="00F956CA"/>
    <w:rsid w:val="00FA6849"/>
    <w:rsid w:val="00FA7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C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7570C8"/>
    <w:rPr>
      <w:rFonts w:ascii="Tahoma" w:hAnsi="Tahoma" w:cs="Tahoma"/>
      <w:sz w:val="16"/>
      <w:szCs w:val="16"/>
    </w:rPr>
  </w:style>
  <w:style w:type="character" w:customStyle="1" w:styleId="TextodebaloChar">
    <w:name w:val="Texto de balão Char"/>
    <w:basedOn w:val="Fontepargpadro"/>
    <w:link w:val="Textodebalo"/>
    <w:uiPriority w:val="99"/>
    <w:semiHidden/>
    <w:rsid w:val="007570C8"/>
    <w:rPr>
      <w:rFonts w:ascii="Tahoma" w:hAnsi="Tahoma" w:cs="Tahoma"/>
      <w:sz w:val="16"/>
      <w:szCs w:val="16"/>
    </w:rPr>
  </w:style>
  <w:style w:type="paragraph" w:styleId="Cabealho">
    <w:name w:val="header"/>
    <w:basedOn w:val="Normal"/>
    <w:link w:val="CabealhoChar"/>
    <w:uiPriority w:val="99"/>
    <w:unhideWhenUsed/>
    <w:rsid w:val="00F40436"/>
    <w:pPr>
      <w:tabs>
        <w:tab w:val="center" w:pos="4252"/>
        <w:tab w:val="right" w:pos="8504"/>
      </w:tabs>
    </w:pPr>
  </w:style>
  <w:style w:type="character" w:customStyle="1" w:styleId="CabealhoChar">
    <w:name w:val="Cabeçalho Char"/>
    <w:basedOn w:val="Fontepargpadro"/>
    <w:link w:val="Cabealho"/>
    <w:uiPriority w:val="99"/>
    <w:rsid w:val="00F40436"/>
  </w:style>
  <w:style w:type="paragraph" w:styleId="Rodap">
    <w:name w:val="footer"/>
    <w:basedOn w:val="Normal"/>
    <w:link w:val="RodapChar"/>
    <w:uiPriority w:val="99"/>
    <w:unhideWhenUsed/>
    <w:rsid w:val="00F40436"/>
    <w:pPr>
      <w:tabs>
        <w:tab w:val="center" w:pos="4252"/>
        <w:tab w:val="right" w:pos="8504"/>
      </w:tabs>
    </w:pPr>
  </w:style>
  <w:style w:type="character" w:customStyle="1" w:styleId="RodapChar">
    <w:name w:val="Rodapé Char"/>
    <w:basedOn w:val="Fontepargpadro"/>
    <w:link w:val="Rodap"/>
    <w:uiPriority w:val="99"/>
    <w:rsid w:val="00F40436"/>
  </w:style>
  <w:style w:type="character" w:styleId="Forte">
    <w:name w:val="Strong"/>
    <w:uiPriority w:val="22"/>
    <w:qFormat/>
    <w:rsid w:val="00B316CC"/>
    <w:rPr>
      <w:b/>
      <w:bCs/>
      <w:w w:val="100"/>
      <w:position w:val="-1"/>
      <w:effect w:val="none"/>
      <w:vertAlign w:val="baseline"/>
      <w:cs w:val="0"/>
      <w:em w:val="none"/>
    </w:rPr>
  </w:style>
  <w:style w:type="character" w:styleId="Hyperlink">
    <w:name w:val="Hyperlink"/>
    <w:basedOn w:val="Fontepargpadro"/>
    <w:uiPriority w:val="99"/>
    <w:unhideWhenUsed/>
    <w:rsid w:val="00DE0047"/>
    <w:rPr>
      <w:color w:val="0000FF" w:themeColor="hyperlink"/>
      <w:u w:val="single"/>
    </w:rPr>
  </w:style>
  <w:style w:type="character" w:styleId="MenoPendente">
    <w:name w:val="Unresolved Mention"/>
    <w:basedOn w:val="Fontepargpadro"/>
    <w:uiPriority w:val="99"/>
    <w:semiHidden/>
    <w:unhideWhenUsed/>
    <w:rsid w:val="00DE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75355">
      <w:bodyDiv w:val="1"/>
      <w:marLeft w:val="0"/>
      <w:marRight w:val="0"/>
      <w:marTop w:val="0"/>
      <w:marBottom w:val="0"/>
      <w:divBdr>
        <w:top w:val="none" w:sz="0" w:space="0" w:color="auto"/>
        <w:left w:val="none" w:sz="0" w:space="0" w:color="auto"/>
        <w:bottom w:val="none" w:sz="0" w:space="0" w:color="auto"/>
        <w:right w:val="none" w:sz="0" w:space="0" w:color="auto"/>
      </w:divBdr>
    </w:div>
    <w:div w:id="80177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273840769903773"/>
          <c:y val="8.0598343175853016E-2"/>
          <c:w val="0.175647120415169"/>
          <c:h val="0.41002624671916016"/>
        </c:manualLayout>
      </c:layout>
      <c:pieChart>
        <c:varyColors val="1"/>
        <c:ser>
          <c:idx val="0"/>
          <c:order val="0"/>
          <c:tx>
            <c:strRef>
              <c:f>Planilha1!$B$1</c:f>
              <c:strCache>
                <c:ptCount val="1"/>
                <c:pt idx="0">
                  <c:v>Vendas</c:v>
                </c:pt>
              </c:strCache>
            </c:strRef>
          </c:tx>
          <c:spPr>
            <a:ln>
              <a:solidFill>
                <a:schemeClr val="bg1"/>
              </a:solidFill>
            </a:ln>
          </c:spPr>
          <c:dPt>
            <c:idx val="0"/>
            <c:bubble3D val="0"/>
            <c:spPr>
              <a:solidFill>
                <a:schemeClr val="accent1"/>
              </a:solidFill>
              <a:ln w="15875">
                <a:noFill/>
              </a:ln>
              <a:effectLst/>
            </c:spPr>
            <c:extLst>
              <c:ext xmlns:c16="http://schemas.microsoft.com/office/drawing/2014/chart" uri="{C3380CC4-5D6E-409C-BE32-E72D297353CC}">
                <c16:uniqueId val="{00000001-699F-4821-819E-435D6B6EEFB7}"/>
              </c:ext>
            </c:extLst>
          </c:dPt>
          <c:dPt>
            <c:idx val="1"/>
            <c:bubble3D val="0"/>
            <c:spPr>
              <a:solidFill>
                <a:schemeClr val="accent2"/>
              </a:solidFill>
              <a:ln w="19050">
                <a:noFill/>
              </a:ln>
              <a:effectLst/>
            </c:spPr>
            <c:extLst>
              <c:ext xmlns:c16="http://schemas.microsoft.com/office/drawing/2014/chart" uri="{C3380CC4-5D6E-409C-BE32-E72D297353CC}">
                <c16:uniqueId val="{00000003-699F-4821-819E-435D6B6EEFB7}"/>
              </c:ext>
            </c:extLst>
          </c:dPt>
          <c:dPt>
            <c:idx val="2"/>
            <c:bubble3D val="0"/>
            <c:spPr>
              <a:solidFill>
                <a:schemeClr val="accent3"/>
              </a:solidFill>
              <a:ln w="19050" cmpd="dbl">
                <a:noFill/>
                <a:prstDash val="dash"/>
              </a:ln>
              <a:effectLst/>
            </c:spPr>
            <c:extLst>
              <c:ext xmlns:c16="http://schemas.microsoft.com/office/drawing/2014/chart" uri="{C3380CC4-5D6E-409C-BE32-E72D297353CC}">
                <c16:uniqueId val="{00000005-699F-4821-819E-435D6B6EEFB7}"/>
              </c:ext>
            </c:extLst>
          </c:dPt>
          <c:dPt>
            <c:idx val="3"/>
            <c:bubble3D val="0"/>
            <c:spPr>
              <a:solidFill>
                <a:schemeClr val="accent4"/>
              </a:solidFill>
              <a:ln w="19050">
                <a:noFill/>
              </a:ln>
              <a:effectLst/>
            </c:spPr>
            <c:extLst>
              <c:ext xmlns:c16="http://schemas.microsoft.com/office/drawing/2014/chart" uri="{C3380CC4-5D6E-409C-BE32-E72D297353CC}">
                <c16:uniqueId val="{00000007-699F-4821-819E-435D6B6EEFB7}"/>
              </c:ext>
            </c:extLst>
          </c:dPt>
          <c:dLbls>
            <c:spPr>
              <a:noFill/>
              <a:ln>
                <a:noFill/>
              </a:ln>
              <a:effectLst/>
            </c:spPr>
            <c:txPr>
              <a:bodyPr rot="0" vert="horz"/>
              <a:lstStyle/>
              <a:p>
                <a:pPr>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4"/>
                <c:pt idx="0">
                  <c:v>Moram em Cajazeiras e estudam em IES Particular</c:v>
                </c:pt>
                <c:pt idx="1">
                  <c:v>Moram em Cajazeiras e estudam em IES Pública</c:v>
                </c:pt>
                <c:pt idx="2">
                  <c:v>Moram em outro Município e estudam em IES Particular</c:v>
                </c:pt>
                <c:pt idx="3">
                  <c:v>Moram em outro Município e estudam em IES Pública</c:v>
                </c:pt>
              </c:strCache>
            </c:strRef>
          </c:cat>
          <c:val>
            <c:numRef>
              <c:f>Planilha1!$B$2:$B$5</c:f>
              <c:numCache>
                <c:formatCode>0.00%</c:formatCode>
                <c:ptCount val="4"/>
                <c:pt idx="0">
                  <c:v>0.251</c:v>
                </c:pt>
                <c:pt idx="1">
                  <c:v>0.255</c:v>
                </c:pt>
                <c:pt idx="2">
                  <c:v>0.30099999999999999</c:v>
                </c:pt>
                <c:pt idx="3">
                  <c:v>0.192</c:v>
                </c:pt>
              </c:numCache>
            </c:numRef>
          </c:val>
          <c:extLst>
            <c:ext xmlns:c16="http://schemas.microsoft.com/office/drawing/2014/chart" uri="{C3380CC4-5D6E-409C-BE32-E72D297353CC}">
              <c16:uniqueId val="{00000008-699F-4821-819E-435D6B6EEFB7}"/>
            </c:ext>
          </c:extLst>
        </c:ser>
        <c:dLbls>
          <c:showLegendKey val="0"/>
          <c:showVal val="0"/>
          <c:showCatName val="0"/>
          <c:showSerName val="0"/>
          <c:showPercent val="0"/>
          <c:showBubbleSize val="0"/>
          <c:showLeaderLines val="1"/>
        </c:dLbls>
        <c:firstSliceAng val="90"/>
      </c:pieChart>
      <c:spPr>
        <a:noFill/>
        <a:ln>
          <a:noFill/>
        </a:ln>
        <a:effectLst/>
      </c:spPr>
    </c:plotArea>
    <c:legend>
      <c:legendPos val="l"/>
      <c:legendEntry>
        <c:idx val="2"/>
        <c:txPr>
          <a:bodyPr rot="0" vert="horz"/>
          <a:lstStyle/>
          <a:p>
            <a:pPr>
              <a:defRPr/>
            </a:pPr>
            <a:endParaRPr lang="pt-BR"/>
          </a:p>
        </c:txPr>
      </c:legendEntry>
      <c:layout>
        <c:manualLayout>
          <c:xMode val="edge"/>
          <c:yMode val="edge"/>
          <c:x val="1.5528957474693173E-2"/>
          <c:y val="0.58963605217286774"/>
          <c:w val="0.5737780518399056"/>
          <c:h val="0.36369649117106578"/>
        </c:manualLayout>
      </c:layout>
      <c:overlay val="0"/>
      <c:spPr>
        <a:noFill/>
        <a:ln>
          <a:noFill/>
        </a:ln>
        <a:effectLst/>
      </c:spPr>
      <c:txPr>
        <a:bodyPr rot="0" vert="horz"/>
        <a:lstStyle/>
        <a:p>
          <a:pPr>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a:softEdge rad="0"/>
    </a:effectLst>
  </c:spPr>
  <c:txPr>
    <a:bodyPr/>
    <a:lstStyle/>
    <a:p>
      <a:pPr>
        <a:defRPr sz="900">
          <a:solidFill>
            <a:sysClr val="windowText" lastClr="000000"/>
          </a:solidFill>
          <a:latin typeface="Helvetica Neue"/>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9153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2021-08-20T23:49:00Z</dcterms:created>
  <dcterms:modified xsi:type="dcterms:W3CDTF">2021-10-17T16:28:00Z</dcterms:modified>
</cp:coreProperties>
</file>