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07663" w14:textId="77777777" w:rsidR="0017162E" w:rsidRDefault="001716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16EA89E9" w14:textId="77777777" w:rsidR="0017162E" w:rsidRDefault="004D2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O GUARANI – UMA ANÁLISE COMPARATIVA</w:t>
      </w:r>
    </w:p>
    <w:p w14:paraId="3EB9703C" w14:textId="77777777" w:rsidR="0017162E" w:rsidRDefault="001716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6B13774D" w14:textId="77777777" w:rsidR="0017162E" w:rsidRDefault="004D2C15" w:rsidP="00CE14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João Eduardo Messias (IFPB, CAMPUS PATOS), Zuila Kelly da Costa Couto (IFPB, CAMPUS ITABAIANA)</w:t>
      </w:r>
    </w:p>
    <w:p w14:paraId="64D4A614" w14:textId="77777777" w:rsidR="0017162E" w:rsidRDefault="001716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4CF436B0" w14:textId="77777777" w:rsidR="0017162E" w:rsidRDefault="004D2C15">
      <w:pPr>
        <w:widowControl w:val="0"/>
        <w:spacing w:before="100" w:after="100"/>
        <w:ind w:left="140" w:right="140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 xml:space="preserve">E-mails: </w:t>
      </w:r>
      <w:r>
        <w:rPr>
          <w:rFonts w:ascii="Helvetica Neue" w:eastAsia="Helvetica Neue" w:hAnsi="Helvetica Neue" w:cs="Helvetica Neue"/>
          <w:sz w:val="18"/>
          <w:szCs w:val="18"/>
        </w:rPr>
        <w:t>joao.messias@academico.ifpb.edu.br, zuila.araujo@ifpb.edu.br</w:t>
      </w:r>
    </w:p>
    <w:p w14:paraId="4FE2ED94" w14:textId="77777777" w:rsidR="0017162E" w:rsidRDefault="004D2C15">
      <w:pPr>
        <w:widowControl w:val="0"/>
        <w:spacing w:before="100" w:after="100"/>
        <w:ind w:left="140" w:right="140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 xml:space="preserve">Área de conhecimento (Tabela CNPq): </w:t>
      </w:r>
      <w:r>
        <w:rPr>
          <w:rFonts w:ascii="Helvetica Neue" w:eastAsia="Helvetica Neue" w:hAnsi="Helvetica Neue" w:cs="Helvetica Neue"/>
          <w:sz w:val="18"/>
          <w:szCs w:val="18"/>
        </w:rPr>
        <w:t>8.00.00.00-2 Linguística, Letras e Artes</w:t>
      </w:r>
    </w:p>
    <w:p w14:paraId="4FC13955" w14:textId="77777777" w:rsidR="0017162E" w:rsidRDefault="004D2C15">
      <w:pPr>
        <w:widowControl w:val="0"/>
        <w:spacing w:before="100" w:after="100"/>
        <w:ind w:left="140" w:right="140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Palavras-chaves: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literatura, povos indígenas, Guarani, colonização, história em quadrinhos</w:t>
      </w:r>
    </w:p>
    <w:p w14:paraId="42C1414E" w14:textId="77777777" w:rsidR="0017162E" w:rsidRDefault="001716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0AF3157F" w14:textId="77777777" w:rsidR="0017162E" w:rsidRDefault="004D2C1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Introdução </w:t>
      </w:r>
    </w:p>
    <w:p w14:paraId="2A8C598B" w14:textId="77777777" w:rsidR="0017162E" w:rsidRDefault="004D2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 w:firstLine="50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O presente resumo consiste em um recorte dos estudos desenvolvidos a partir do projeto de pesquisa 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Contribuições da leitura de quadrinhos para os múltiplos letramentos,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aprovado pelo edital 18/2020, PIBIC EM CNPq. A discussão proposta apresenta uma análise comparativa entre a obra literária 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O Guarani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sz w:val="18"/>
          <w:szCs w:val="18"/>
        </w:rPr>
        <w:t>escrita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por José de Alencar e a adaptação para os quadrinhos, de mesmo nome, dos autores Luiz Gê e Ivan Jaf. A obra original publicada em 1857 faz parte da primeira geração da escola literária romântica, cuja </w:t>
      </w:r>
      <w:r>
        <w:rPr>
          <w:rFonts w:ascii="Helvetica Neue" w:eastAsia="Helvetica Neue" w:hAnsi="Helvetica Neue" w:cs="Helvetica Neue"/>
          <w:sz w:val="18"/>
          <w:szCs w:val="18"/>
        </w:rPr>
        <w:t>característica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mais marcante é a representação da figura indígena como o principal </w:t>
      </w:r>
      <w:r>
        <w:rPr>
          <w:rFonts w:ascii="Helvetica Neue" w:eastAsia="Helvetica Neue" w:hAnsi="Helvetica Neue" w:cs="Helvetica Neue"/>
          <w:sz w:val="18"/>
          <w:szCs w:val="18"/>
        </w:rPr>
        <w:t>herói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nacional. A partir da comparação entre a obra e a sua adaptação em quadrinhos é possível refletir acerca de diversas questões relacionadas a esse tipo de </w:t>
      </w:r>
      <w:r>
        <w:rPr>
          <w:rFonts w:ascii="Helvetica Neue" w:eastAsia="Helvetica Neue" w:hAnsi="Helvetica Neue" w:cs="Helvetica Neue"/>
          <w:sz w:val="18"/>
          <w:szCs w:val="18"/>
        </w:rPr>
        <w:t>representação,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como por exemplo os signos relacionados à construção de um herói subserviente ao colonizador. O principal objetivo do trabalho é apresentar uma proposta de leitura dos diferentes gêneros, considerando as características e recursos expressivos de cada suporte, explorando as suas possibilidades de uso didático na sala de aula. </w:t>
      </w:r>
    </w:p>
    <w:p w14:paraId="6553EA02" w14:textId="77777777" w:rsidR="0017162E" w:rsidRDefault="0017162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5F4537A0" w14:textId="77777777" w:rsidR="0017162E" w:rsidRDefault="004D2C1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Materias e Métodos </w:t>
      </w:r>
    </w:p>
    <w:p w14:paraId="7D73DA5A" w14:textId="77777777" w:rsidR="0017162E" w:rsidRDefault="004D2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 w:firstLine="426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A pesquisa realizada consiste em um estudo de natureza qualitativa e bibliográfica, tendo em vista que foram analisadas de forma comparativa uma obra literária e sua adaptação para a linguagem dos quadrinhos.</w:t>
      </w:r>
    </w:p>
    <w:p w14:paraId="608C97BE" w14:textId="77777777" w:rsidR="0017162E" w:rsidRDefault="004D2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 w:firstLine="426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Para tanto, foram desenvolvidas três etapas nas quais o pesquisador foi responsável por: apropriar-se do referencial teórico e de estudos já realizados em relação à interação entre a linguagem literária e a arte </w:t>
      </w:r>
      <w:r>
        <w:rPr>
          <w:rFonts w:ascii="Helvetica Neue" w:eastAsia="Helvetica Neue" w:hAnsi="Helvetica Neue" w:cs="Helvetica Neue"/>
          <w:sz w:val="18"/>
          <w:szCs w:val="18"/>
        </w:rPr>
        <w:t>sequência, também foram analisados alguns autores como Marco Ferreira, Pascoal Farinaccio e o próprio José de Alencar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; promover a análise do corpus e, por fim, destacar as contribuições das narrativas estudadas para o processo de formação de leitores.</w:t>
      </w:r>
    </w:p>
    <w:p w14:paraId="0CA64757" w14:textId="77777777" w:rsidR="0017162E" w:rsidRDefault="004D2C1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right="141"/>
        <w:rPr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Resultados e Discussão</w:t>
      </w:r>
    </w:p>
    <w:p w14:paraId="620B9CFC" w14:textId="77777777" w:rsidR="0017162E" w:rsidRDefault="004D2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 w:firstLine="567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 obra </w:t>
      </w:r>
      <w:r>
        <w:rPr>
          <w:rFonts w:ascii="Helvetica Neue" w:eastAsia="Helvetica Neue" w:hAnsi="Helvetica Neue" w:cs="Helvetica Neue"/>
          <w:sz w:val="18"/>
          <w:szCs w:val="18"/>
        </w:rPr>
        <w:t>literária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O Guarani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foi escrita por José de Alencar em 1877 e representa a primeira geração do romantismo brasileir</w:t>
      </w:r>
      <w:r>
        <w:rPr>
          <w:rFonts w:ascii="Helvetica Neue" w:eastAsia="Helvetica Neue" w:hAnsi="Helvetica Neue" w:cs="Helvetica Neue"/>
          <w:sz w:val="18"/>
          <w:szCs w:val="18"/>
        </w:rPr>
        <w:t>o,</w:t>
      </w:r>
      <w:r>
        <w:rPr>
          <w:rFonts w:ascii="Helvetica Neue" w:eastAsia="Helvetica Neue" w:hAnsi="Helvetica Neue" w:cs="Helvetica Neue"/>
          <w:sz w:val="18"/>
          <w:szCs w:val="18"/>
          <w:vertAlign w:val="superscript"/>
        </w:rPr>
        <w:t>,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que elege o índio como </w:t>
      </w:r>
      <w:r>
        <w:rPr>
          <w:rFonts w:ascii="Helvetica Neue" w:eastAsia="Helvetica Neue" w:hAnsi="Helvetica Neue" w:cs="Helvetica Neue"/>
          <w:sz w:val="18"/>
          <w:szCs w:val="18"/>
        </w:rPr>
        <w:t>herói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nacional e da nossa prosa de ficção. O romance apresenta 356 </w:t>
      </w:r>
      <w:r>
        <w:rPr>
          <w:rFonts w:ascii="Helvetica Neue" w:eastAsia="Helvetica Neue" w:hAnsi="Helvetica Neue" w:cs="Helvetica Neue"/>
          <w:sz w:val="18"/>
          <w:szCs w:val="18"/>
        </w:rPr>
        <w:t>(trezentas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 cinquenta e seis) páginas divididas em quatro partes: “Os aventureiros”, “Peri”, “Os Aimorés” e “As </w:t>
      </w:r>
      <w:r>
        <w:rPr>
          <w:rFonts w:ascii="Helvetica Neue" w:eastAsia="Helvetica Neue" w:hAnsi="Helvetica Neue" w:cs="Helvetica Neue"/>
          <w:sz w:val="18"/>
          <w:szCs w:val="18"/>
        </w:rPr>
        <w:t>Catástrofes".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O início da narrativa se dá em 1604, quando D. Antônio de Mariz (figura histórica)</w:t>
      </w:r>
      <w:r>
        <w:rPr>
          <w:rFonts w:ascii="Helvetica Neue" w:eastAsia="Helvetica Neue" w:hAnsi="Helvetica Neue" w:cs="Helvetica Neue"/>
          <w:color w:val="000000"/>
          <w:sz w:val="18"/>
          <w:szCs w:val="18"/>
          <w:vertAlign w:val="superscript"/>
        </w:rPr>
        <w:footnoteReference w:id="1"/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deixa sua pátria e vem para o Rio de Janeiro com sua família: D. Lauriana, sua esposa; sua filha Cecília </w:t>
      </w:r>
      <w:r>
        <w:rPr>
          <w:rFonts w:ascii="Helvetica Neue" w:eastAsia="Helvetica Neue" w:hAnsi="Helvetica Neue" w:cs="Helvetica Neue"/>
          <w:sz w:val="18"/>
          <w:szCs w:val="18"/>
        </w:rPr>
        <w:t>(Ceci, como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é chamada); </w:t>
      </w:r>
      <w:r>
        <w:rPr>
          <w:rFonts w:ascii="Helvetica Neue" w:eastAsia="Helvetica Neue" w:hAnsi="Helvetica Neue" w:cs="Helvetica Neue"/>
          <w:sz w:val="18"/>
          <w:szCs w:val="18"/>
        </w:rPr>
        <w:t>Isabel, que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é filha de D. </w:t>
      </w:r>
      <w:r>
        <w:rPr>
          <w:rFonts w:ascii="Helvetica Neue" w:eastAsia="Helvetica Neue" w:hAnsi="Helvetica Neue" w:cs="Helvetica Neue"/>
          <w:sz w:val="18"/>
          <w:szCs w:val="18"/>
        </w:rPr>
        <w:t>Antônio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sz w:val="18"/>
          <w:szCs w:val="18"/>
        </w:rPr>
        <w:t>com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uma indígena, mas é tratada como sua sobrinha, e seu filho D. Diogo</w:t>
      </w:r>
      <w:r>
        <w:rPr>
          <w:rFonts w:ascii="Helvetica Neue" w:eastAsia="Helvetica Neue" w:hAnsi="Helvetica Neue" w:cs="Helvetica Neue"/>
          <w:sz w:val="18"/>
          <w:szCs w:val="18"/>
        </w:rPr>
        <w:t>;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D. Antonio constrói uma comunidade às margens do </w:t>
      </w:r>
      <w:r>
        <w:rPr>
          <w:rFonts w:ascii="Helvetica Neue" w:eastAsia="Helvetica Neue" w:hAnsi="Helvetica Neue" w:cs="Helvetica Neue"/>
          <w:sz w:val="18"/>
          <w:szCs w:val="18"/>
        </w:rPr>
        <w:t>r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io </w:t>
      </w:r>
      <w:r>
        <w:rPr>
          <w:rFonts w:ascii="Helvetica Neue" w:eastAsia="Helvetica Neue" w:hAnsi="Helvetica Neue" w:cs="Helvetica Neue"/>
          <w:sz w:val="18"/>
          <w:szCs w:val="18"/>
        </w:rPr>
        <w:t>p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araíba com ajuda dos índios guaranis que, de forma fantasiosa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pois ele coloca os índios guaranis em situação de escravidão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,  os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índios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ajudam na construção da casa onde Peri se apaixona por Ceci após salvar sua vida.</w:t>
      </w:r>
    </w:p>
    <w:p w14:paraId="72925B37" w14:textId="77777777" w:rsidR="0017162E" w:rsidRDefault="004D2C1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 w:firstLine="567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Peri decide morar com D. Antônio de Mariz e sua família, </w:t>
      </w:r>
      <w:r>
        <w:rPr>
          <w:rFonts w:ascii="Helvetica Neue" w:eastAsia="Helvetica Neue" w:hAnsi="Helvetica Neue" w:cs="Helvetica Neue"/>
          <w:sz w:val="18"/>
          <w:szCs w:val="18"/>
        </w:rPr>
        <w:t>elemento do enredo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que é descrito por Oswald de Andrade em seu “Manifesto Antropófago” como um índio “cheio de sentimentos portugueses”</w:t>
      </w:r>
      <w:r>
        <w:rPr>
          <w:rFonts w:ascii="Helvetica Neue" w:eastAsia="Helvetica Neue" w:hAnsi="Helvetica Neue" w:cs="Helvetica Neue"/>
          <w:sz w:val="18"/>
          <w:szCs w:val="18"/>
        </w:rPr>
        <w:t>;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pois ele abandona sua cultura e se abre para os costumes e crenças dos portugueses</w:t>
      </w:r>
      <w:r>
        <w:rPr>
          <w:rFonts w:ascii="Helvetica Neue" w:eastAsia="Helvetica Neue" w:hAnsi="Helvetica Neue" w:cs="Helvetica Neue"/>
          <w:sz w:val="18"/>
          <w:szCs w:val="18"/>
        </w:rPr>
        <w:t>. O Guarani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é um romance de fundação, como já sugerido, entendendo-se por isso uma representação literária que procura explicar e justificar o surgimento de um novo povo, no caso, o povo brasileiro. Após o dilúvio que encerra a narrativa, do qual escapam vivos apenas Peri e Ceci, supõe-se que os dois enfim cheguem às vias de fato e </w:t>
      </w:r>
      <w:r>
        <w:rPr>
          <w:rFonts w:ascii="Helvetica Neue" w:eastAsia="Helvetica Neue" w:hAnsi="Helvetica Neue" w:cs="Helvetica Neue"/>
          <w:sz w:val="18"/>
          <w:szCs w:val="18"/>
        </w:rPr>
        <w:t>concebem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um filho, que deverá ser, digamos, o </w:t>
      </w:r>
      <w:r>
        <w:rPr>
          <w:rFonts w:ascii="Helvetica Neue" w:eastAsia="Helvetica Neue" w:hAnsi="Helvetica Neue" w:cs="Helvetica Neue"/>
          <w:sz w:val="18"/>
          <w:szCs w:val="18"/>
        </w:rPr>
        <w:t>“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primeiro brasileiro</w:t>
      </w:r>
      <w:r>
        <w:rPr>
          <w:rFonts w:ascii="Helvetica Neue" w:eastAsia="Helvetica Neue" w:hAnsi="Helvetica Neue" w:cs="Helvetica Neue"/>
          <w:sz w:val="18"/>
          <w:szCs w:val="18"/>
        </w:rPr>
        <w:t>”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, fruto do amor de um índio e de uma filha de português</w:t>
      </w:r>
      <w:r>
        <w:rPr>
          <w:rFonts w:ascii="Helvetica Neue" w:eastAsia="Helvetica Neue" w:hAnsi="Helvetica Neue" w:cs="Helvetica Neue"/>
          <w:sz w:val="18"/>
          <w:szCs w:val="18"/>
        </w:rPr>
        <w:t>.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(FARINACCIO, 2013).</w:t>
      </w:r>
    </w:p>
    <w:p w14:paraId="73C24DDB" w14:textId="77777777" w:rsidR="0017162E" w:rsidRDefault="004D2C15">
      <w:pPr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     A reconstrução do passado histórico levantado por Alencar no romance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pressupõe total adesão à ideia do “português nobre </w:t>
      </w:r>
      <w:r>
        <w:rPr>
          <w:rFonts w:ascii="Helvetica Neue" w:eastAsia="Helvetica Neue" w:hAnsi="Helvetica Neue" w:cs="Helvetica Neue"/>
          <w:sz w:val="18"/>
          <w:szCs w:val="18"/>
        </w:rPr>
        <w:t>bem como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sz w:val="18"/>
          <w:szCs w:val="18"/>
        </w:rPr>
        <w:t>a narrativa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segue um caminho reconhecendo o português como o único que tem direito à posse do país legítimo</w:t>
      </w:r>
      <w:r>
        <w:rPr>
          <w:rFonts w:ascii="Helvetica Neue" w:eastAsia="Helvetica Neue" w:hAnsi="Helvetica Neue" w:cs="Helvetica Neue"/>
          <w:sz w:val="18"/>
          <w:szCs w:val="18"/>
        </w:rPr>
        <w:t>”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(MARCO, 1993,p. 46). É preciso entender que quando é feito um elogio a Peri (seja à sua força, inteligência, etc.) também é feito o elogio, acima de tudo, a um índio que se alia aos portugueses. “É preciso forjar a imagem do índio como homem sábio, inteligente e virtuoso para afirmá-lo como companheiro indispensável ao branco que quer fixar-se à terra e colonizá-la. Define-se assim uma aliança política necessária (MARCO, 199</w:t>
      </w:r>
      <w:r>
        <w:rPr>
          <w:rFonts w:ascii="Helvetica Neue" w:eastAsia="Helvetica Neue" w:hAnsi="Helvetica Neue" w:cs="Helvetica Neue"/>
          <w:sz w:val="18"/>
          <w:szCs w:val="18"/>
        </w:rPr>
        <w:t>3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). </w:t>
      </w:r>
    </w:p>
    <w:p w14:paraId="0031B496" w14:textId="77777777" w:rsidR="0017162E" w:rsidRDefault="004D2C15">
      <w:pPr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    Com relação às configurações das personagens e do espaço, as figuras românticas remetem ao medievalismo (como exemplo, podemos lembrar da casa de D. Antônio de Mariz que é similar a um “castelo feudal”) compreendidas como reforço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lastRenderedPageBreak/>
        <w:t>ideológico de “harmonização” e a disciplina de mão de ferro do colonizador que queria um exército inconteste de poder e posse efetiva da terra. Dessa forma, se D. Antônio de Mariz vê qualidades em Peri, isso é porque vê nele um reflexo diminuído de si mesmo e que poderá a ele recorrer em momentos de perigo de sua empreitada colonizadora. “[...] é um cavalheiro português no corpo de um selvagem!” (ALENCAR, 2000).</w:t>
      </w:r>
    </w:p>
    <w:p w14:paraId="0DE992DF" w14:textId="77777777" w:rsidR="0017162E" w:rsidRDefault="004D2C15">
      <w:pPr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      O herói do povo brasileiro muitas vezes é comparado, em sua pureza de alma, a uma criança. Falamos em benevolência, e é bem disso de que se trata. Diz o narrador em terceira pessoa que Peri tinha “sua linguagem tão rica e poética, com doce pronúncia que parecia ter aprendido das auras de sua terra ou das aves da floresta virgem...”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Não obstante, a fala “poética” de Peri é apreendida pelo senhor português como a fala de uma criança, a qual se ouve com certo carinho, mas sempre de um ponto de vista acima dela, vale dizer, distanciado e crítico: “D. Antônio de Mariz o ouvia sorrindo-se do seu estilo ora figurado, ora tão singelo como as primeiras frases que balbucia a criança no seio materno” (ALENCAR, 2000).</w:t>
      </w:r>
    </w:p>
    <w:p w14:paraId="54B42737" w14:textId="77777777" w:rsidR="0017162E" w:rsidRDefault="004D2C15">
      <w:pPr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     Na adaptação para a HQ, a história segue fiel à obra, mas sem as extensas descrições do romance original. Isso acontece porque a HQ explora bastante o recurso visual, construindo imagens que são responsáveis pelo entendimento da narrativa. O layout da HQ imprime bem a imagem tropical trazida por Alencar, mostrando uma mata diversificada, colorida e as estratégias que o colonizador português utilizou para adentrá-la. A imagem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abaixo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mostra uma representação bastante idealizada de uma mata virgem na qual os colonizadores embrenham-se utilizando armaduras, fato que diverge da realidade da época. </w:t>
      </w:r>
    </w:p>
    <w:p w14:paraId="1E5145A7" w14:textId="77777777" w:rsidR="0017162E" w:rsidRDefault="0017162E">
      <w:pPr>
        <w:jc w:val="both"/>
        <w:rPr>
          <w:rFonts w:ascii="Helvetica Neue" w:eastAsia="Helvetica Neue" w:hAnsi="Helvetica Neue" w:cs="Helvetica Neue"/>
          <w:sz w:val="18"/>
          <w:szCs w:val="18"/>
        </w:rPr>
      </w:pPr>
    </w:p>
    <w:p w14:paraId="2EE9C719" w14:textId="77777777" w:rsidR="0017162E" w:rsidRDefault="004D2C15">
      <w:pPr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noProof/>
          <w:sz w:val="18"/>
          <w:szCs w:val="18"/>
        </w:rPr>
        <w:drawing>
          <wp:inline distT="114300" distB="114300" distL="114300" distR="114300" wp14:anchorId="526F08AD" wp14:editId="08ACB00A">
            <wp:extent cx="1411125" cy="1969012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125" cy="1969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7E318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ind w:firstLine="284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Figura 1:  Representação do encontro do colonizador com a natureza selvagem.</w:t>
      </w:r>
    </w:p>
    <w:p w14:paraId="4D2007D4" w14:textId="77777777" w:rsidR="0017162E" w:rsidRDefault="0017162E">
      <w:pPr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60D9305F" w14:textId="77777777" w:rsidR="0017162E" w:rsidRDefault="004D2C15">
      <w:pPr>
        <w:ind w:firstLine="284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A imagem de Peri na HQ remete a “O rei das selvas” que já é conhecida e popularizada amplamente pelo personagem Tarzan.</w:t>
      </w:r>
    </w:p>
    <w:p w14:paraId="07219CFC" w14:textId="77777777" w:rsidR="0017162E" w:rsidRDefault="004D2C15">
      <w:pPr>
        <w:ind w:left="720" w:firstLine="284"/>
        <w:jc w:val="both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“Aqui é como se as contradições do herói de Alencar, que vimos demonstrando, se </w:t>
      </w:r>
      <w:r>
        <w:rPr>
          <w:rFonts w:ascii="Helvetica Neue" w:eastAsia="Helvetica Neue" w:hAnsi="Helvetica Neue" w:cs="Helvetica Neue"/>
          <w:sz w:val="16"/>
          <w:szCs w:val="16"/>
        </w:rPr>
        <w:t>recobrissem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de mais uma camada de incongruência. Pois, não obstante a ciência dos autores da intencionalidade de Alencar de criar um herói “eminentemente brasileiro”, o desenho do protagonista remete a Tarzan. Ora, Tarzan não é brasileiro, mas sim criação do escritor estadunidense Edgar Rice Burroughs; a personagem fez sua estreia literária em 1912 no romance Tarzan of the Apes. Seguiu-se a ela uma formidável carreira de adaptações no cinema, na televisão e nos quadrinhos. Posto isso, talvez não seja exagero propor que a dificuldade de postular um herói “eminentemente brasileiro” permanece um problema insolúvel desde Alencar até os nossos dias.” (FARINACCIO, 2013).</w:t>
      </w:r>
    </w:p>
    <w:p w14:paraId="2F901550" w14:textId="77777777" w:rsidR="0017162E" w:rsidRDefault="0017162E">
      <w:pPr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458E6685" w14:textId="77777777" w:rsidR="0017162E" w:rsidRDefault="004D2C15">
      <w:pPr>
        <w:keepNext/>
        <w:jc w:val="center"/>
      </w:pPr>
      <w:r>
        <w:rPr>
          <w:noProof/>
        </w:rPr>
        <w:drawing>
          <wp:inline distT="0" distB="0" distL="0" distR="0" wp14:anchorId="63EA2548" wp14:editId="28A51718">
            <wp:extent cx="1398924" cy="2058362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4128" t="12966" r="35458" b="10703"/>
                    <a:stretch>
                      <a:fillRect/>
                    </a:stretch>
                  </pic:blipFill>
                  <pic:spPr>
                    <a:xfrm>
                      <a:off x="0" y="0"/>
                      <a:ext cx="1398924" cy="2058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FFC899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Figura 2: Capa da adaptação em quadrinhos do Guarani</w:t>
      </w:r>
    </w:p>
    <w:p w14:paraId="29BF459D" w14:textId="77777777" w:rsidR="0017162E" w:rsidRDefault="0017162E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rFonts w:ascii="Helvetica Neue" w:eastAsia="Helvetica Neue" w:hAnsi="Helvetica Neue" w:cs="Helvetica Neue"/>
          <w:sz w:val="18"/>
          <w:szCs w:val="18"/>
        </w:rPr>
      </w:pPr>
    </w:p>
    <w:p w14:paraId="29DE5C13" w14:textId="77777777" w:rsidR="0017162E" w:rsidRDefault="004D2C15">
      <w:pPr>
        <w:ind w:firstLine="567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>O que os diferencia é o fato de Peri ser nativo indígena, porém, por amor a Ceci, deixa os seus costumes, lar, família e toda a sua vivência para morar com D. Antônio de Mariz; junto dos portugueses colonizadores, torna-se cristão e recebe</w:t>
      </w:r>
      <w:r>
        <w:rPr>
          <w:rFonts w:ascii="Helvetica Neue" w:eastAsia="Helvetica Neue" w:hAnsi="Helvetica Neue" w:cs="Helvetica Neue"/>
          <w:sz w:val="18"/>
          <w:szCs w:val="18"/>
        </w:rPr>
        <w:t>ndo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lastRenderedPageBreak/>
        <w:t>outro nome, chamado agora de Peri-Antônio, marca de sua mudança e “vida nova”. Esse ato de Peri é prova da “aculturação”</w:t>
      </w:r>
      <w:r>
        <w:rPr>
          <w:rFonts w:ascii="Helvetica Neue" w:eastAsia="Helvetica Neue" w:hAnsi="Helvetica Neue" w:cs="Helvetica Neue"/>
          <w:color w:val="000000"/>
          <w:sz w:val="18"/>
          <w:szCs w:val="18"/>
          <w:vertAlign w:val="superscript"/>
        </w:rPr>
        <w:footnoteReference w:id="2"/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que os povos indígenas sofreram. Já Tarzan é o “rei da selva”. Entretanto, trata-se de uma volta à natureza, modificá-la, reinventando a </w:t>
      </w:r>
      <w:r>
        <w:rPr>
          <w:rFonts w:ascii="Helvetica Neue" w:eastAsia="Helvetica Neue" w:hAnsi="Helvetica Neue" w:cs="Helvetica Neue"/>
          <w:sz w:val="18"/>
          <w:szCs w:val="18"/>
        </w:rPr>
        <w:t>civilização. No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caso dele é colocada em questão a dominação instrumental da natureza com uma "relíquia cultural”, isto é, uma faca, Tarzan submete à natureza à sua vontade.</w:t>
      </w:r>
    </w:p>
    <w:p w14:paraId="527F0CAF" w14:textId="77777777" w:rsidR="0017162E" w:rsidRDefault="0017162E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6F166FDC" w14:textId="77777777" w:rsidR="0017162E" w:rsidRDefault="004D2C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Considerações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 finais </w:t>
      </w:r>
    </w:p>
    <w:p w14:paraId="4ACE4667" w14:textId="77777777" w:rsidR="0017162E" w:rsidRDefault="0017162E">
      <w:pPr>
        <w:pBdr>
          <w:top w:val="nil"/>
          <w:left w:val="nil"/>
          <w:bottom w:val="nil"/>
          <w:right w:val="nil"/>
          <w:between w:val="nil"/>
        </w:pBdr>
        <w:ind w:left="861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666FC471" w14:textId="77777777" w:rsidR="0017162E" w:rsidRDefault="004D2C15">
      <w:pPr>
        <w:ind w:firstLine="567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Portanto, 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O Guarani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de José de Alencar e sua adaptação em quadrinhos, p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erpassa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por diversas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referências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, na tentativa de representar os heróis da cultura brasileira, possibilitam uma reflexão sobre como tem sido percebida a dificuldade de sustentá-los. Sim, Peri é um “herói”, mas um dos mais humilhados na prosa de ficção.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Entretanto,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ele não é um "anti-herói" pois lhe faltam a graça e ironia, o que poderia redimi-lo na perspectiva de personagem crítico à sociedade brasileira e suas complexidades.</w:t>
      </w:r>
    </w:p>
    <w:p w14:paraId="68D019E3" w14:textId="77777777" w:rsidR="0017162E" w:rsidRDefault="004D2C15">
      <w:pPr>
        <w:ind w:firstLine="567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color w:val="000000"/>
          <w:sz w:val="18"/>
          <w:szCs w:val="18"/>
        </w:rPr>
        <w:t>A partir dessa perspectiva, ressaltamos a importância da reflexão sobre o passado histórico e suas representações como elemento essencial para a formação crítica e cidadã, que nos ajuda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a entender a história do Brasil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. A que projeto de nação se presta a figura de um herói subserviente e estereotipado? A leitura dessas obras no contexto atual possibilita a discussão sobre temas como a construção das narrativas sobre a identidade nacional e suas implicações no entendimento de valores como patriotismo, cidadania, entre outros. 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A história em quadrinhos pode ser introduzida no ensino de literatura e de história no contexto da educação básica, tanto para a compreensão de nosso passado colonial, bem como para a compreensão mais aprofundada a respeito dos ideiais de construção de uma identidade nacional atreladas a esse contexto. </w:t>
      </w:r>
    </w:p>
    <w:p w14:paraId="127DF674" w14:textId="77777777" w:rsidR="0017162E" w:rsidRDefault="004D2C15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</w:t>
      </w:r>
    </w:p>
    <w:p w14:paraId="05648394" w14:textId="77777777" w:rsidR="0017162E" w:rsidRDefault="004D2C15">
      <w:pP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 </w:t>
      </w: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Agradecimentos </w:t>
      </w:r>
    </w:p>
    <w:p w14:paraId="7C188A85" w14:textId="77777777" w:rsidR="0017162E" w:rsidRDefault="0017162E">
      <w:pPr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548714A4" w14:textId="77777777" w:rsidR="0017162E" w:rsidRDefault="004D2C15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 xml:space="preserve">     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Agradeço ao CNPQ e ao IFPB pelo financiamento do projeto; </w:t>
      </w:r>
      <w:r>
        <w:rPr>
          <w:rFonts w:ascii="Helvetica Neue" w:eastAsia="Helvetica Neue" w:hAnsi="Helvetica Neue" w:cs="Helvetica Neue"/>
          <w:sz w:val="18"/>
          <w:szCs w:val="18"/>
        </w:rPr>
        <w:t>à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orientadora Profª.Zuila Kelly da Costa Couto; ao coorientador e Prof. Fabricio Sousa e meus colegas de pesquisa.  </w:t>
      </w:r>
    </w:p>
    <w:p w14:paraId="5D2FA906" w14:textId="77777777" w:rsidR="0017162E" w:rsidRDefault="0017162E">
      <w:pPr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08743608" w14:textId="77777777" w:rsidR="0017162E" w:rsidRDefault="004D2C15">
      <w:pP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 xml:space="preserve">Referências: </w:t>
      </w:r>
    </w:p>
    <w:p w14:paraId="6D498521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ALENCAR, José de. </w:t>
      </w:r>
      <w:r w:rsidRPr="00CE141E">
        <w:rPr>
          <w:rFonts w:ascii="Helvetica Neue" w:eastAsia="Helvetica Neue" w:hAnsi="Helvetica Neue" w:cs="Helvetica Neue"/>
          <w:b/>
          <w:bCs/>
          <w:sz w:val="18"/>
          <w:szCs w:val="18"/>
        </w:rPr>
        <w:t>O Guarani</w:t>
      </w:r>
      <w:r>
        <w:rPr>
          <w:rFonts w:ascii="Helvetica Neue" w:eastAsia="Helvetica Neue" w:hAnsi="Helvetica Neue" w:cs="Helvetica Neue"/>
          <w:sz w:val="18"/>
          <w:szCs w:val="18"/>
        </w:rPr>
        <w:t>. São Paulo, Ateliê Editorial, 2000.</w:t>
      </w:r>
    </w:p>
    <w:p w14:paraId="388533FB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ANDRADE, Oswald de. </w:t>
      </w:r>
      <w:r w:rsidRPr="00CE141E">
        <w:rPr>
          <w:rFonts w:ascii="Helvetica Neue" w:eastAsia="Helvetica Neue" w:hAnsi="Helvetica Neue" w:cs="Helvetica Neue"/>
          <w:b/>
          <w:bCs/>
          <w:sz w:val="18"/>
          <w:szCs w:val="18"/>
        </w:rPr>
        <w:t>Ponta de Lança</w:t>
      </w:r>
      <w:r>
        <w:rPr>
          <w:rFonts w:ascii="Helvetica Neue" w:eastAsia="Helvetica Neue" w:hAnsi="Helvetica Neue" w:cs="Helvetica Neue"/>
          <w:sz w:val="18"/>
          <w:szCs w:val="18"/>
        </w:rPr>
        <w:t>. São Paulo, Globo, 1991.</w:t>
      </w:r>
    </w:p>
    <w:p w14:paraId="6927FAB9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FARINACCIO, Pascoal. O problema do herói nacional: o guarani na literatura e nos quadrinhos. </w:t>
      </w:r>
      <w:r w:rsidRPr="00CE141E">
        <w:rPr>
          <w:rFonts w:ascii="Helvetica Neue" w:eastAsia="Helvetica Neue" w:hAnsi="Helvetica Neue" w:cs="Helvetica Neue"/>
          <w:b/>
          <w:bCs/>
          <w:sz w:val="18"/>
          <w:szCs w:val="18"/>
        </w:rPr>
        <w:t>Anais Eletrônicos das Jornadas Internacionais de Histórias em Quadrinhos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. Escola de Comunicações e Artes da USP. 2013. Acesso em 26/mai/2021. </w:t>
      </w:r>
    </w:p>
    <w:p w14:paraId="3DCA838B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JAF, Ivan. </w:t>
      </w:r>
      <w:r w:rsidRPr="00CE141E">
        <w:rPr>
          <w:rFonts w:ascii="Helvetica Neue" w:eastAsia="Helvetica Neue" w:hAnsi="Helvetica Neue" w:cs="Helvetica Neue"/>
          <w:b/>
          <w:bCs/>
          <w:sz w:val="18"/>
          <w:szCs w:val="18"/>
        </w:rPr>
        <w:t>O Guarani</w:t>
      </w:r>
      <w:r>
        <w:rPr>
          <w:rFonts w:ascii="Helvetica Neue" w:eastAsia="Helvetica Neue" w:hAnsi="Helvetica Neue" w:cs="Helvetica Neue"/>
          <w:sz w:val="18"/>
          <w:szCs w:val="18"/>
        </w:rPr>
        <w:t>. Adaptação e roteiro de Ivan Jaf; roteiro e desenhos de Luiz Gê. São Paulo, Ática, 2009.</w:t>
      </w:r>
    </w:p>
    <w:p w14:paraId="1D253A66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MARCO, Valeria de. </w:t>
      </w:r>
      <w:r w:rsidRPr="00CE141E">
        <w:rPr>
          <w:rFonts w:ascii="Helvetica Neue" w:eastAsia="Helvetica Neue" w:hAnsi="Helvetica Neue" w:cs="Helvetica Neue"/>
          <w:b/>
          <w:bCs/>
          <w:sz w:val="18"/>
          <w:szCs w:val="18"/>
        </w:rPr>
        <w:t>A Perda das Ilusões</w:t>
      </w:r>
      <w:r>
        <w:rPr>
          <w:rFonts w:ascii="Helvetica Neue" w:eastAsia="Helvetica Neue" w:hAnsi="Helvetica Neue" w:cs="Helvetica Neue"/>
          <w:sz w:val="18"/>
          <w:szCs w:val="18"/>
        </w:rPr>
        <w:t>: O Romance Histórico de José de Alencar. Campinas-SP, Editora da Unicamp, 1993.</w:t>
      </w:r>
    </w:p>
    <w:p w14:paraId="383E18CC" w14:textId="77777777" w:rsidR="0017162E" w:rsidRDefault="004D2C15">
      <w:pP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6"/>
          <w:szCs w:val="16"/>
        </w:rPr>
        <w:t xml:space="preserve"> </w:t>
      </w:r>
    </w:p>
    <w:p w14:paraId="414A175C" w14:textId="77777777" w:rsidR="0017162E" w:rsidRDefault="0017162E">
      <w:pPr>
        <w:rPr>
          <w:rFonts w:ascii="Helvetica Neue" w:eastAsia="Helvetica Neue" w:hAnsi="Helvetica Neue" w:cs="Helvetica Neue"/>
          <w:sz w:val="18"/>
          <w:szCs w:val="18"/>
        </w:rPr>
      </w:pPr>
    </w:p>
    <w:sectPr w:rsidR="0017162E">
      <w:headerReference w:type="default" r:id="rId10"/>
      <w:footerReference w:type="default" r:id="rId11"/>
      <w:pgSz w:w="11920" w:h="16840"/>
      <w:pgMar w:top="1620" w:right="1020" w:bottom="880" w:left="1020" w:header="119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AA218" w14:textId="77777777" w:rsidR="006C2F7F" w:rsidRDefault="006C2F7F">
      <w:r>
        <w:separator/>
      </w:r>
    </w:p>
  </w:endnote>
  <w:endnote w:type="continuationSeparator" w:id="0">
    <w:p w14:paraId="5CFFBD8F" w14:textId="77777777" w:rsidR="006C2F7F" w:rsidRDefault="006C2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C43FA" w14:textId="77777777" w:rsidR="0017162E" w:rsidRDefault="0017162E">
    <w:pPr>
      <w:widowControl w:val="0"/>
      <w:spacing w:before="212"/>
      <w:ind w:left="412"/>
      <w:rPr>
        <w:rFonts w:ascii="Helvetica Neue" w:eastAsia="Helvetica Neue" w:hAnsi="Helvetica Neue" w:cs="Helvetica Neue"/>
        <w:sz w:val="18"/>
        <w:szCs w:val="18"/>
      </w:rPr>
    </w:pPr>
  </w:p>
  <w:p w14:paraId="14F8B094" w14:textId="77777777" w:rsidR="0017162E" w:rsidRDefault="004D2C15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1020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</w:rPr>
      <w:drawing>
        <wp:inline distT="114300" distB="114300" distL="114300" distR="114300" wp14:anchorId="68166253" wp14:editId="3DC70A22">
          <wp:extent cx="7481888" cy="626656"/>
          <wp:effectExtent l="0" t="0" r="0" b="0"/>
          <wp:docPr id="1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-379" t="-65365" r="-9175"/>
                  <a:stretch>
                    <a:fillRect/>
                  </a:stretch>
                </pic:blipFill>
                <pic:spPr>
                  <a:xfrm>
                    <a:off x="0" y="0"/>
                    <a:ext cx="7481888" cy="626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E054A" w14:textId="77777777" w:rsidR="006C2F7F" w:rsidRDefault="006C2F7F">
      <w:r>
        <w:separator/>
      </w:r>
    </w:p>
  </w:footnote>
  <w:footnote w:type="continuationSeparator" w:id="0">
    <w:p w14:paraId="0A710422" w14:textId="77777777" w:rsidR="006C2F7F" w:rsidRDefault="006C2F7F">
      <w:r>
        <w:continuationSeparator/>
      </w:r>
    </w:p>
  </w:footnote>
  <w:footnote w:id="1">
    <w:p w14:paraId="17DC8296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D.</w:t>
      </w:r>
      <w:r>
        <w:rPr>
          <w:rFonts w:ascii="Helvetica Neue" w:eastAsia="Helvetica Neue" w:hAnsi="Helvetica Neue" w:cs="Helvetica Neue"/>
          <w:sz w:val="18"/>
          <w:szCs w:val="18"/>
        </w:rPr>
        <w:t>Antônio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 xml:space="preserve"> de Mariz existiu fora do romance. Ele foi um fidalgo português e um dos fundadores da cidade do Rio de Janeiro em 1565. Seu nome foi imortalizado no romance “O Guarani” de José de Alencar. </w:t>
      </w:r>
    </w:p>
  </w:footnote>
  <w:footnote w:id="2">
    <w:p w14:paraId="018A6BDE" w14:textId="77777777" w:rsidR="0017162E" w:rsidRDefault="004D2C15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Ato de tirar uma cultura de um indivíduo ou um povo e trocar por outro.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FAE7" w14:textId="77777777" w:rsidR="0017162E" w:rsidRDefault="004D2C15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992" w:hanging="27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</w:rPr>
      <w:drawing>
        <wp:inline distT="114300" distB="114300" distL="114300" distR="114300" wp14:anchorId="26C8D208" wp14:editId="012E4B96">
          <wp:extent cx="7548563" cy="811160"/>
          <wp:effectExtent l="0" t="0" r="0" b="0"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7" r="15"/>
                  <a:stretch>
                    <a:fillRect/>
                  </a:stretch>
                </pic:blipFill>
                <pic:spPr>
                  <a:xfrm>
                    <a:off x="0" y="0"/>
                    <a:ext cx="7548563" cy="81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20912"/>
    <w:multiLevelType w:val="multilevel"/>
    <w:tmpl w:val="FFFFFFFF"/>
    <w:lvl w:ilvl="0">
      <w:start w:val="1"/>
      <w:numFmt w:val="decimal"/>
      <w:lvlText w:val="%1."/>
      <w:lvlJc w:val="left"/>
      <w:pPr>
        <w:ind w:left="861" w:hanging="360"/>
      </w:pPr>
    </w:lvl>
    <w:lvl w:ilvl="1">
      <w:start w:val="1"/>
      <w:numFmt w:val="lowerLetter"/>
      <w:lvlText w:val="%2."/>
      <w:lvlJc w:val="left"/>
      <w:pPr>
        <w:ind w:left="1581" w:hanging="360"/>
      </w:pPr>
    </w:lvl>
    <w:lvl w:ilvl="2">
      <w:start w:val="1"/>
      <w:numFmt w:val="lowerRoman"/>
      <w:lvlText w:val="%3."/>
      <w:lvlJc w:val="right"/>
      <w:pPr>
        <w:ind w:left="2301" w:hanging="180"/>
      </w:pPr>
    </w:lvl>
    <w:lvl w:ilvl="3">
      <w:start w:val="1"/>
      <w:numFmt w:val="decimal"/>
      <w:lvlText w:val="%4."/>
      <w:lvlJc w:val="left"/>
      <w:pPr>
        <w:ind w:left="3021" w:hanging="360"/>
      </w:pPr>
    </w:lvl>
    <w:lvl w:ilvl="4">
      <w:start w:val="1"/>
      <w:numFmt w:val="lowerLetter"/>
      <w:lvlText w:val="%5."/>
      <w:lvlJc w:val="left"/>
      <w:pPr>
        <w:ind w:left="3741" w:hanging="360"/>
      </w:pPr>
    </w:lvl>
    <w:lvl w:ilvl="5">
      <w:start w:val="1"/>
      <w:numFmt w:val="lowerRoman"/>
      <w:lvlText w:val="%6."/>
      <w:lvlJc w:val="right"/>
      <w:pPr>
        <w:ind w:left="4461" w:hanging="180"/>
      </w:pPr>
    </w:lvl>
    <w:lvl w:ilvl="6">
      <w:start w:val="1"/>
      <w:numFmt w:val="decimal"/>
      <w:lvlText w:val="%7."/>
      <w:lvlJc w:val="left"/>
      <w:pPr>
        <w:ind w:left="5181" w:hanging="360"/>
      </w:pPr>
    </w:lvl>
    <w:lvl w:ilvl="7">
      <w:start w:val="1"/>
      <w:numFmt w:val="lowerLetter"/>
      <w:lvlText w:val="%8."/>
      <w:lvlJc w:val="left"/>
      <w:pPr>
        <w:ind w:left="5901" w:hanging="360"/>
      </w:pPr>
    </w:lvl>
    <w:lvl w:ilvl="8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62E"/>
    <w:rsid w:val="0017162E"/>
    <w:rsid w:val="004D2C15"/>
    <w:rsid w:val="006C2F7F"/>
    <w:rsid w:val="009012DF"/>
    <w:rsid w:val="00CE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35973"/>
  <w15:docId w15:val="{FC5E9048-394B-534C-A52C-F18194118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A57C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A57C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A57CB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C29C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C29C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C29C2"/>
    <w:rPr>
      <w:vertAlign w:val="superscript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D138C"/>
    <w:pPr>
      <w:widowControl w:val="0"/>
      <w:autoSpaceDE w:val="0"/>
      <w:autoSpaceDN w:val="0"/>
    </w:pPr>
    <w:rPr>
      <w:rFonts w:ascii="Carlito" w:eastAsia="Carlito" w:hAnsi="Carlito" w:cs="Carlito"/>
      <w:sz w:val="20"/>
      <w:szCs w:val="20"/>
      <w:lang w:val="pt-BR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138C"/>
    <w:rPr>
      <w:rFonts w:ascii="Carlito" w:eastAsia="Carlito" w:hAnsi="Carlito" w:cs="Carlito"/>
      <w:sz w:val="20"/>
      <w:szCs w:val="20"/>
      <w:lang w:val="pt-BR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3D138C"/>
    <w:rPr>
      <w:sz w:val="16"/>
      <w:szCs w:val="16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3D138C"/>
    <w:pPr>
      <w:widowControl w:val="0"/>
      <w:autoSpaceDE w:val="0"/>
      <w:autoSpaceDN w:val="0"/>
      <w:spacing w:before="158"/>
      <w:ind w:left="100"/>
      <w:jc w:val="both"/>
    </w:pPr>
    <w:rPr>
      <w:rFonts w:ascii="Carlito" w:eastAsia="Carlito" w:hAnsi="Carlito" w:cs="Carlito"/>
      <w:sz w:val="22"/>
      <w:szCs w:val="22"/>
      <w:lang w:val="pt-BR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3D138C"/>
    <w:rPr>
      <w:rFonts w:ascii="Carlito" w:eastAsia="Carlito" w:hAnsi="Carlito" w:cs="Carlito"/>
      <w:sz w:val="22"/>
      <w:szCs w:val="22"/>
      <w:lang w:val="pt-BR"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02601C"/>
    <w:pPr>
      <w:spacing w:after="200"/>
    </w:pPr>
    <w:rPr>
      <w:i/>
      <w:iCs/>
      <w:color w:val="1F497D" w:themeColor="text2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5546"/>
    <w:pPr>
      <w:widowControl/>
      <w:autoSpaceDE/>
      <w:autoSpaceDN/>
    </w:pPr>
    <w:rPr>
      <w:rFonts w:ascii="Times New Roman" w:eastAsia="Times New Roman" w:hAnsi="Times New Roman" w:cs="Times New Roman"/>
      <w:b/>
      <w:bCs/>
      <w:lang w:val="pt-PT"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5546"/>
    <w:rPr>
      <w:rFonts w:ascii="Carlito" w:eastAsia="Carlito" w:hAnsi="Carlito" w:cs="Carlito"/>
      <w:b/>
      <w:bCs/>
      <w:sz w:val="20"/>
      <w:szCs w:val="20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45BF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8zTp5Lyd+Bh7J/WknvGkw34Z3g==">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1606</Words>
  <Characters>8801</Characters>
  <Application>Microsoft Office Word</Application>
  <DocSecurity>0</DocSecurity>
  <Lines>463</Lines>
  <Paragraphs>452</Paragraphs>
  <ScaleCrop>false</ScaleCrop>
  <Company/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Sinésio da Silva Bina</cp:lastModifiedBy>
  <cp:revision>3</cp:revision>
  <dcterms:created xsi:type="dcterms:W3CDTF">2021-10-25T12:54:00Z</dcterms:created>
  <dcterms:modified xsi:type="dcterms:W3CDTF">2021-10-27T22:14:00Z</dcterms:modified>
</cp:coreProperties>
</file>